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4024A" w14:textId="178BB51E" w:rsidR="00056F0E" w:rsidRPr="001E5E23" w:rsidRDefault="00330FAF" w:rsidP="00BC1040">
      <w:pPr>
        <w:ind w:left="567" w:right="-24" w:hanging="567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General Zoology</w:t>
      </w:r>
      <w:r w:rsidR="004C24AA" w:rsidRPr="001E5E23">
        <w:rPr>
          <w:rFonts w:ascii="Calibri" w:hAnsi="Calibri"/>
          <w:b/>
          <w:sz w:val="24"/>
          <w:szCs w:val="24"/>
        </w:rPr>
        <w:t xml:space="preserve"> </w:t>
      </w:r>
      <w:r w:rsidR="006B53DC">
        <w:rPr>
          <w:rFonts w:ascii="Calibri" w:hAnsi="Calibri"/>
          <w:b/>
          <w:sz w:val="24"/>
          <w:szCs w:val="24"/>
        </w:rPr>
        <w:t>‘Proje</w:t>
      </w:r>
      <w:r>
        <w:rPr>
          <w:rFonts w:ascii="Calibri" w:hAnsi="Calibri"/>
          <w:b/>
          <w:sz w:val="24"/>
          <w:szCs w:val="24"/>
        </w:rPr>
        <w:t>ct M</w:t>
      </w:r>
      <w:r w:rsidR="004A3760" w:rsidRPr="001E5E23">
        <w:rPr>
          <w:rFonts w:ascii="Calibri" w:hAnsi="Calibri"/>
          <w:b/>
          <w:sz w:val="24"/>
          <w:szCs w:val="24"/>
        </w:rPr>
        <w:t>odul</w:t>
      </w:r>
      <w:r>
        <w:rPr>
          <w:rFonts w:ascii="Calibri" w:hAnsi="Calibri"/>
          <w:b/>
          <w:sz w:val="24"/>
          <w:szCs w:val="24"/>
        </w:rPr>
        <w:t>e</w:t>
      </w:r>
      <w:r w:rsidR="006B53DC">
        <w:rPr>
          <w:rFonts w:ascii="Calibri" w:hAnsi="Calibri"/>
          <w:b/>
          <w:sz w:val="24"/>
          <w:szCs w:val="24"/>
        </w:rPr>
        <w:t>’</w:t>
      </w:r>
      <w:r w:rsidR="004C24AA" w:rsidRPr="001E5E23">
        <w:rPr>
          <w:rFonts w:ascii="Calibri" w:hAnsi="Calibri"/>
          <w:b/>
          <w:sz w:val="24"/>
          <w:szCs w:val="24"/>
        </w:rPr>
        <w:t xml:space="preserve"> </w:t>
      </w:r>
      <w:r w:rsidR="00761D23" w:rsidRPr="001E5E23">
        <w:rPr>
          <w:rFonts w:ascii="Calibri" w:hAnsi="Calibri"/>
          <w:b/>
          <w:sz w:val="24"/>
          <w:szCs w:val="24"/>
        </w:rPr>
        <w:t>20</w:t>
      </w:r>
      <w:r w:rsidR="006C650D">
        <w:rPr>
          <w:rFonts w:ascii="Calibri" w:hAnsi="Calibri"/>
          <w:b/>
          <w:sz w:val="24"/>
          <w:szCs w:val="24"/>
        </w:rPr>
        <w:t>2</w:t>
      </w:r>
      <w:r w:rsidR="00483F5C">
        <w:rPr>
          <w:rFonts w:ascii="Calibri" w:hAnsi="Calibri"/>
          <w:b/>
          <w:sz w:val="24"/>
          <w:szCs w:val="24"/>
        </w:rPr>
        <w:t>1</w:t>
      </w:r>
      <w:r w:rsidR="00BC1040">
        <w:rPr>
          <w:rFonts w:ascii="Calibri" w:hAnsi="Calibri"/>
          <w:b/>
          <w:sz w:val="24"/>
          <w:szCs w:val="24"/>
        </w:rPr>
        <w:t xml:space="preserve">. </w:t>
      </w:r>
      <w:r w:rsidR="00F87214" w:rsidRPr="001E5E23">
        <w:rPr>
          <w:rFonts w:ascii="Calibri" w:hAnsi="Calibri"/>
          <w:b/>
          <w:sz w:val="24"/>
          <w:szCs w:val="24"/>
        </w:rPr>
        <w:t>Literature Seminar Papers</w:t>
      </w:r>
    </w:p>
    <w:p w14:paraId="4D4742F7" w14:textId="3E41FD21" w:rsidR="00CA5DD2" w:rsidRPr="001E5E23" w:rsidRDefault="00D11615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Pathogen-Host interactions: week 1</w:t>
      </w:r>
    </w:p>
    <w:p w14:paraId="64B80249" w14:textId="370369CF" w:rsidR="00B27229" w:rsidRPr="00B27229" w:rsidRDefault="00B27229" w:rsidP="00B27229">
      <w:pPr>
        <w:widowControl w:val="0"/>
        <w:tabs>
          <w:tab w:val="left" w:pos="13041"/>
        </w:tabs>
        <w:autoSpaceDE w:val="0"/>
        <w:autoSpaceDN w:val="0"/>
        <w:adjustRightInd w:val="0"/>
        <w:ind w:left="567" w:right="-24" w:hanging="567"/>
        <w:rPr>
          <w:rFonts w:ascii="Calibri" w:hAnsi="Calibri" w:cs="Times New Roman"/>
          <w:sz w:val="24"/>
          <w:szCs w:val="24"/>
          <w:lang w:val="en-US" w:eastAsia="en-GB"/>
        </w:rPr>
      </w:pPr>
      <w:proofErr w:type="spellStart"/>
      <w:r w:rsidRPr="00B27229">
        <w:rPr>
          <w:rFonts w:ascii="Calibri" w:hAnsi="Calibri" w:cs="Times New Roman"/>
          <w:sz w:val="24"/>
          <w:szCs w:val="24"/>
          <w:lang w:val="it-IT" w:eastAsia="en-GB"/>
        </w:rPr>
        <w:t>Esparza</w:t>
      </w:r>
      <w:proofErr w:type="spellEnd"/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-Mora, M.A., Davis, H.E., </w:t>
      </w:r>
      <w:proofErr w:type="spellStart"/>
      <w:r w:rsidRPr="00B27229">
        <w:rPr>
          <w:rFonts w:ascii="Calibri" w:hAnsi="Calibri" w:cs="Times New Roman"/>
          <w:sz w:val="24"/>
          <w:szCs w:val="24"/>
          <w:lang w:val="it-IT" w:eastAsia="en-GB"/>
        </w:rPr>
        <w:t>Meconcelli</w:t>
      </w:r>
      <w:proofErr w:type="spellEnd"/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, S., </w:t>
      </w:r>
      <w:proofErr w:type="spellStart"/>
      <w:r w:rsidRPr="00B27229">
        <w:rPr>
          <w:rFonts w:ascii="Calibri" w:hAnsi="Calibri" w:cs="Times New Roman"/>
          <w:sz w:val="24"/>
          <w:szCs w:val="24"/>
          <w:lang w:val="it-IT" w:eastAsia="en-GB"/>
        </w:rPr>
        <w:t>Plarre</w:t>
      </w:r>
      <w:proofErr w:type="spellEnd"/>
      <w:r w:rsidR="00EF7605">
        <w:rPr>
          <w:rFonts w:ascii="Calibri" w:hAnsi="Calibri" w:cs="Times New Roman"/>
          <w:sz w:val="24"/>
          <w:szCs w:val="24"/>
          <w:lang w:val="it-IT" w:eastAsia="en-GB"/>
        </w:rPr>
        <w:t>,</w:t>
      </w:r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 R.</w:t>
      </w:r>
      <w:r w:rsidR="0042420A">
        <w:rPr>
          <w:rFonts w:ascii="Calibri" w:hAnsi="Calibri" w:cs="Times New Roman"/>
          <w:sz w:val="24"/>
          <w:szCs w:val="24"/>
          <w:lang w:val="it-IT" w:eastAsia="en-GB"/>
        </w:rPr>
        <w:t>,</w:t>
      </w:r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 </w:t>
      </w:r>
      <w:proofErr w:type="spellStart"/>
      <w:r w:rsidRPr="00B27229">
        <w:rPr>
          <w:rFonts w:ascii="Calibri" w:hAnsi="Calibri" w:cs="Times New Roman"/>
          <w:sz w:val="24"/>
          <w:szCs w:val="24"/>
          <w:lang w:val="it-IT" w:eastAsia="en-GB"/>
        </w:rPr>
        <w:t>McMahon</w:t>
      </w:r>
      <w:proofErr w:type="spellEnd"/>
      <w:r w:rsidRPr="00B27229">
        <w:rPr>
          <w:rFonts w:ascii="Calibri" w:hAnsi="Calibri" w:cs="Times New Roman"/>
          <w:sz w:val="24"/>
          <w:szCs w:val="24"/>
          <w:lang w:val="it-IT" w:eastAsia="en-GB"/>
        </w:rPr>
        <w:t xml:space="preserve">, D.P. (2020) </w:t>
      </w:r>
      <w:r w:rsidRPr="00B27229">
        <w:rPr>
          <w:rFonts w:ascii="Calibri" w:hAnsi="Calibri" w:cs="Times New Roman"/>
          <w:sz w:val="24"/>
          <w:szCs w:val="24"/>
          <w:lang w:val="en-US" w:eastAsia="en-GB"/>
        </w:rPr>
        <w:t xml:space="preserve">Inhibition of a secreted immune molecule interferes with termite social immunity. </w:t>
      </w:r>
      <w:r w:rsidRPr="000B2364">
        <w:rPr>
          <w:rFonts w:ascii="Calibri" w:hAnsi="Calibri" w:cs="Times New Roman"/>
          <w:i/>
          <w:iCs/>
          <w:sz w:val="24"/>
          <w:szCs w:val="24"/>
          <w:lang w:val="en-US" w:eastAsia="en-GB"/>
        </w:rPr>
        <w:t>Frontiers in Ecology and Evolution</w:t>
      </w:r>
      <w:r w:rsidRPr="00B27229">
        <w:rPr>
          <w:rFonts w:ascii="Calibri" w:hAnsi="Calibri" w:cs="Times New Roman"/>
          <w:sz w:val="24"/>
          <w:szCs w:val="24"/>
          <w:lang w:val="en-US" w:eastAsia="en-GB"/>
        </w:rPr>
        <w:t xml:space="preserve">. </w:t>
      </w:r>
      <w:hyperlink r:id="rId5" w:history="1">
        <w:r w:rsidRPr="00B27229">
          <w:rPr>
            <w:rStyle w:val="Hyperlink"/>
            <w:rFonts w:ascii="Calibri" w:hAnsi="Calibri" w:cs="Times New Roman"/>
            <w:sz w:val="24"/>
            <w:szCs w:val="24"/>
            <w:lang w:eastAsia="en-GB"/>
          </w:rPr>
          <w:t>https://doi.org/10.3389/fevo.2020.00075</w:t>
        </w:r>
      </w:hyperlink>
    </w:p>
    <w:p w14:paraId="5CF942AE" w14:textId="619715AD" w:rsidR="00DE221D" w:rsidRPr="00BC1040" w:rsidRDefault="00591A5D" w:rsidP="00BC1040">
      <w:pPr>
        <w:widowControl w:val="0"/>
        <w:tabs>
          <w:tab w:val="left" w:pos="13041"/>
        </w:tabs>
        <w:autoSpaceDE w:val="0"/>
        <w:autoSpaceDN w:val="0"/>
        <w:adjustRightInd w:val="0"/>
        <w:ind w:left="567" w:right="-24" w:hanging="567"/>
        <w:rPr>
          <w:rFonts w:ascii="Calibri" w:hAnsi="Calibri" w:cs="Helvetica"/>
          <w:sz w:val="24"/>
          <w:szCs w:val="24"/>
          <w:lang w:val="en-GB"/>
        </w:rPr>
      </w:pPr>
      <w:r w:rsidRPr="00591A5D">
        <w:rPr>
          <w:rFonts w:ascii="Calibri" w:hAnsi="Calibri" w:cs="Helvetica"/>
          <w:sz w:val="24"/>
          <w:szCs w:val="24"/>
          <w:lang w:val="en-GB"/>
        </w:rPr>
        <w:t xml:space="preserve">Penick, C. A., et al. </w:t>
      </w:r>
      <w:r w:rsidR="00E12CD5">
        <w:rPr>
          <w:rFonts w:ascii="Calibri" w:hAnsi="Calibri" w:cs="Helvetica"/>
          <w:sz w:val="24"/>
          <w:szCs w:val="24"/>
          <w:lang w:val="en-GB"/>
        </w:rPr>
        <w:t>(</w:t>
      </w:r>
      <w:r w:rsidRPr="00591A5D">
        <w:rPr>
          <w:rFonts w:ascii="Calibri" w:hAnsi="Calibri" w:cs="Helvetica"/>
          <w:sz w:val="24"/>
          <w:szCs w:val="24"/>
          <w:lang w:val="en-GB"/>
        </w:rPr>
        <w:t>2018</w:t>
      </w:r>
      <w:r w:rsidR="00E12CD5">
        <w:rPr>
          <w:rFonts w:ascii="Calibri" w:hAnsi="Calibri" w:cs="Helvetica"/>
          <w:sz w:val="24"/>
          <w:szCs w:val="24"/>
          <w:lang w:val="en-GB"/>
        </w:rPr>
        <w:t>)</w:t>
      </w:r>
      <w:r w:rsidRPr="00591A5D">
        <w:rPr>
          <w:rFonts w:ascii="Calibri" w:hAnsi="Calibri" w:cs="Helvetica"/>
          <w:sz w:val="24"/>
          <w:szCs w:val="24"/>
          <w:lang w:val="en-GB"/>
        </w:rPr>
        <w:t xml:space="preserve"> External immunity in ant societies: Sociality and colony size do not predict investment in antimicrobials. </w:t>
      </w:r>
      <w:r w:rsidRPr="000B2364">
        <w:rPr>
          <w:rFonts w:ascii="Calibri" w:hAnsi="Calibri" w:cs="Helvetica"/>
          <w:i/>
          <w:iCs/>
          <w:sz w:val="24"/>
          <w:szCs w:val="24"/>
          <w:lang w:val="en-GB"/>
        </w:rPr>
        <w:t>Royal Society Open Science</w:t>
      </w:r>
      <w:r w:rsidR="000B2364">
        <w:rPr>
          <w:rFonts w:ascii="Calibri" w:hAnsi="Calibri" w:cs="Helvetica"/>
          <w:sz w:val="24"/>
          <w:szCs w:val="24"/>
          <w:lang w:val="en-GB"/>
        </w:rPr>
        <w:t xml:space="preserve">, </w:t>
      </w:r>
      <w:hyperlink r:id="rId6" w:history="1">
        <w:r w:rsidRPr="00591A5D">
          <w:rPr>
            <w:rStyle w:val="Hyperlink"/>
            <w:rFonts w:ascii="Calibri" w:hAnsi="Calibri" w:cs="Helvetica"/>
            <w:sz w:val="24"/>
            <w:szCs w:val="24"/>
            <w:lang w:val="en-GB"/>
          </w:rPr>
          <w:t>https://doi.org/10.1098/rsos.171332</w:t>
        </w:r>
      </w:hyperlink>
    </w:p>
    <w:p w14:paraId="09BB25BE" w14:textId="445FF027" w:rsidR="00D11615" w:rsidRPr="001E5E23" w:rsidRDefault="00D11615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Population Genetics</w:t>
      </w:r>
      <w:r w:rsidR="00D62D20" w:rsidRPr="001E5E23">
        <w:rPr>
          <w:rFonts w:ascii="Calibri" w:hAnsi="Calibri"/>
          <w:b/>
          <w:sz w:val="24"/>
          <w:szCs w:val="24"/>
        </w:rPr>
        <w:t>/Genomics</w:t>
      </w:r>
      <w:r w:rsidRPr="001E5E23">
        <w:rPr>
          <w:rFonts w:ascii="Calibri" w:hAnsi="Calibri"/>
          <w:b/>
          <w:sz w:val="24"/>
          <w:szCs w:val="24"/>
        </w:rPr>
        <w:t>: week 2</w:t>
      </w:r>
    </w:p>
    <w:p w14:paraId="685DC949" w14:textId="56C8C529" w:rsidR="000359BD" w:rsidRDefault="000359BD" w:rsidP="000359BD">
      <w:pPr>
        <w:tabs>
          <w:tab w:val="left" w:pos="13041"/>
        </w:tabs>
        <w:ind w:left="567" w:right="-24" w:hanging="567"/>
        <w:rPr>
          <w:rFonts w:ascii="Calibri" w:hAnsi="Calibri"/>
          <w:sz w:val="24"/>
          <w:szCs w:val="24"/>
        </w:rPr>
      </w:pPr>
      <w:proofErr w:type="spellStart"/>
      <w:r w:rsidRPr="009A5F75">
        <w:rPr>
          <w:rFonts w:ascii="Calibri" w:hAnsi="Calibri"/>
          <w:sz w:val="24"/>
          <w:szCs w:val="24"/>
        </w:rPr>
        <w:t>Castañeda-Zárate</w:t>
      </w:r>
      <w:proofErr w:type="spellEnd"/>
      <w:r>
        <w:rPr>
          <w:rFonts w:ascii="Calibri" w:hAnsi="Calibri"/>
          <w:sz w:val="24"/>
          <w:szCs w:val="24"/>
        </w:rPr>
        <w:t>,</w:t>
      </w:r>
      <w:r w:rsidRPr="009A5F75">
        <w:rPr>
          <w:rFonts w:ascii="Calibri" w:hAnsi="Calibri"/>
          <w:sz w:val="24"/>
          <w:szCs w:val="24"/>
        </w:rPr>
        <w:t xml:space="preserve"> M</w:t>
      </w:r>
      <w:r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>, Johnson</w:t>
      </w:r>
      <w:r>
        <w:rPr>
          <w:rFonts w:ascii="Calibri" w:hAnsi="Calibri"/>
          <w:sz w:val="24"/>
          <w:szCs w:val="24"/>
        </w:rPr>
        <w:t>,</w:t>
      </w:r>
      <w:r w:rsidRPr="009A5F75">
        <w:rPr>
          <w:rFonts w:ascii="Calibri" w:hAnsi="Calibri"/>
          <w:sz w:val="24"/>
          <w:szCs w:val="24"/>
        </w:rPr>
        <w:t xml:space="preserve"> S</w:t>
      </w:r>
      <w:r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>D</w:t>
      </w:r>
      <w:r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 xml:space="preserve">, van der </w:t>
      </w:r>
      <w:proofErr w:type="spellStart"/>
      <w:r w:rsidRPr="009A5F75">
        <w:rPr>
          <w:rFonts w:ascii="Calibri" w:hAnsi="Calibri"/>
          <w:sz w:val="24"/>
          <w:szCs w:val="24"/>
        </w:rPr>
        <w:t>Niet</w:t>
      </w:r>
      <w:proofErr w:type="spellEnd"/>
      <w:r>
        <w:rPr>
          <w:rFonts w:ascii="Calibri" w:hAnsi="Calibri"/>
          <w:sz w:val="24"/>
          <w:szCs w:val="24"/>
        </w:rPr>
        <w:t>,</w:t>
      </w:r>
      <w:r w:rsidRPr="009A5F75">
        <w:rPr>
          <w:rFonts w:ascii="Calibri" w:hAnsi="Calibri"/>
          <w:sz w:val="24"/>
          <w:szCs w:val="24"/>
        </w:rPr>
        <w:t xml:space="preserve"> T</w:t>
      </w:r>
      <w:r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(2021) </w:t>
      </w:r>
      <w:r w:rsidRPr="009A5F75">
        <w:rPr>
          <w:rFonts w:ascii="Calibri" w:hAnsi="Calibri"/>
          <w:sz w:val="24"/>
          <w:szCs w:val="24"/>
        </w:rPr>
        <w:t xml:space="preserve">Food reward chemistry explains a novel pollinator shift and </w:t>
      </w:r>
      <w:proofErr w:type="spellStart"/>
      <w:r w:rsidRPr="009A5F75">
        <w:rPr>
          <w:rFonts w:ascii="Calibri" w:hAnsi="Calibri"/>
          <w:sz w:val="24"/>
          <w:szCs w:val="24"/>
        </w:rPr>
        <w:t>vestigialization</w:t>
      </w:r>
      <w:proofErr w:type="spellEnd"/>
      <w:r w:rsidRPr="009A5F75">
        <w:rPr>
          <w:rFonts w:ascii="Calibri" w:hAnsi="Calibri"/>
          <w:sz w:val="24"/>
          <w:szCs w:val="24"/>
        </w:rPr>
        <w:t xml:space="preserve"> of long floral spurs in an orchid. </w:t>
      </w:r>
      <w:r w:rsidRPr="009A5F75">
        <w:rPr>
          <w:rFonts w:ascii="Calibri" w:hAnsi="Calibri"/>
          <w:i/>
          <w:sz w:val="24"/>
          <w:szCs w:val="24"/>
        </w:rPr>
        <w:t>Current Biology</w:t>
      </w:r>
      <w:r>
        <w:rPr>
          <w:rFonts w:ascii="Calibri" w:hAnsi="Calibri"/>
          <w:sz w:val="24"/>
          <w:szCs w:val="24"/>
        </w:rPr>
        <w:t xml:space="preserve"> 31, 238-246.e7</w:t>
      </w:r>
      <w:r w:rsidR="00316437">
        <w:rPr>
          <w:rFonts w:ascii="Calibri" w:hAnsi="Calibri"/>
          <w:sz w:val="24"/>
          <w:szCs w:val="24"/>
        </w:rPr>
        <w:t>.</w:t>
      </w:r>
      <w:r w:rsidRPr="009A5F75">
        <w:rPr>
          <w:rFonts w:ascii="Calibri" w:hAnsi="Calibri"/>
          <w:sz w:val="24"/>
          <w:szCs w:val="24"/>
        </w:rPr>
        <w:t xml:space="preserve"> </w:t>
      </w:r>
      <w:proofErr w:type="spellStart"/>
      <w:r w:rsidRPr="009A5F75">
        <w:rPr>
          <w:rFonts w:ascii="Calibri" w:hAnsi="Calibri"/>
          <w:sz w:val="24"/>
          <w:szCs w:val="24"/>
        </w:rPr>
        <w:t>doi</w:t>
      </w:r>
      <w:proofErr w:type="spellEnd"/>
      <w:r w:rsidRPr="009A5F75">
        <w:rPr>
          <w:rFonts w:ascii="Calibri" w:hAnsi="Calibri"/>
          <w:sz w:val="24"/>
          <w:szCs w:val="24"/>
        </w:rPr>
        <w:t>: 10.1016/j.cub.2020.10.024</w:t>
      </w:r>
    </w:p>
    <w:p w14:paraId="20F85293" w14:textId="54486C20" w:rsidR="001E5E23" w:rsidRPr="00BC1040" w:rsidRDefault="000359BD" w:rsidP="00BC1040">
      <w:pPr>
        <w:tabs>
          <w:tab w:val="left" w:pos="13041"/>
        </w:tabs>
        <w:ind w:left="567" w:right="-24" w:hanging="567"/>
        <w:rPr>
          <w:rFonts w:ascii="Calibri" w:hAnsi="Calibri"/>
          <w:sz w:val="24"/>
          <w:szCs w:val="24"/>
        </w:rPr>
      </w:pPr>
      <w:proofErr w:type="spellStart"/>
      <w:r w:rsidRPr="00D069BF">
        <w:rPr>
          <w:rFonts w:ascii="Calibri" w:hAnsi="Calibri"/>
          <w:sz w:val="24"/>
          <w:szCs w:val="24"/>
        </w:rPr>
        <w:t>Baeckens</w:t>
      </w:r>
      <w:proofErr w:type="spellEnd"/>
      <w:r>
        <w:rPr>
          <w:rFonts w:ascii="Calibri" w:hAnsi="Calibri"/>
          <w:sz w:val="24"/>
          <w:szCs w:val="24"/>
        </w:rPr>
        <w:t>,</w:t>
      </w:r>
      <w:r w:rsidRPr="00D069BF">
        <w:rPr>
          <w:rFonts w:ascii="Calibri" w:hAnsi="Calibri"/>
          <w:sz w:val="24"/>
          <w:szCs w:val="24"/>
        </w:rPr>
        <w:t xml:space="preserve"> S</w:t>
      </w:r>
      <w:r>
        <w:rPr>
          <w:rFonts w:ascii="Calibri" w:hAnsi="Calibri"/>
          <w:sz w:val="24"/>
          <w:szCs w:val="24"/>
        </w:rPr>
        <w:t>.</w:t>
      </w:r>
      <w:r w:rsidRPr="00D069BF">
        <w:rPr>
          <w:rFonts w:ascii="Calibri" w:hAnsi="Calibri"/>
          <w:sz w:val="24"/>
          <w:szCs w:val="24"/>
        </w:rPr>
        <w:t>, Whiting</w:t>
      </w:r>
      <w:r w:rsidR="000B2364">
        <w:rPr>
          <w:rFonts w:ascii="Calibri" w:hAnsi="Calibri"/>
          <w:sz w:val="24"/>
          <w:szCs w:val="24"/>
        </w:rPr>
        <w:t>,</w:t>
      </w:r>
      <w:r w:rsidRPr="00D069BF">
        <w:rPr>
          <w:rFonts w:ascii="Calibri" w:hAnsi="Calibri"/>
          <w:sz w:val="24"/>
          <w:szCs w:val="24"/>
        </w:rPr>
        <w:t xml:space="preserve"> M</w:t>
      </w:r>
      <w:r>
        <w:rPr>
          <w:rFonts w:ascii="Calibri" w:hAnsi="Calibri"/>
          <w:sz w:val="24"/>
          <w:szCs w:val="24"/>
        </w:rPr>
        <w:t>.</w:t>
      </w:r>
      <w:r w:rsidRPr="00D069BF">
        <w:rPr>
          <w:rFonts w:ascii="Calibri" w:hAnsi="Calibri"/>
          <w:sz w:val="24"/>
          <w:szCs w:val="24"/>
        </w:rPr>
        <w:t>J.</w:t>
      </w:r>
      <w:r w:rsidR="00316437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(</w:t>
      </w:r>
      <w:r w:rsidRPr="00D069BF">
        <w:rPr>
          <w:rFonts w:ascii="Calibri" w:hAnsi="Calibri"/>
          <w:sz w:val="24"/>
          <w:szCs w:val="24"/>
        </w:rPr>
        <w:t>2021</w:t>
      </w:r>
      <w:r>
        <w:rPr>
          <w:rFonts w:ascii="Calibri" w:hAnsi="Calibri"/>
          <w:sz w:val="24"/>
          <w:szCs w:val="24"/>
        </w:rPr>
        <w:t>)</w:t>
      </w:r>
      <w:r w:rsidRPr="00D069BF">
        <w:rPr>
          <w:rFonts w:ascii="Calibri" w:hAnsi="Calibri"/>
          <w:sz w:val="24"/>
          <w:szCs w:val="24"/>
        </w:rPr>
        <w:t xml:space="preserve"> Investment in chemical signalling glands</w:t>
      </w:r>
      <w:r>
        <w:rPr>
          <w:rFonts w:ascii="Calibri" w:hAnsi="Calibri"/>
          <w:sz w:val="24"/>
          <w:szCs w:val="24"/>
        </w:rPr>
        <w:t xml:space="preserve"> </w:t>
      </w:r>
      <w:r w:rsidRPr="00D069BF">
        <w:rPr>
          <w:rFonts w:ascii="Calibri" w:hAnsi="Calibri"/>
          <w:sz w:val="24"/>
          <w:szCs w:val="24"/>
        </w:rPr>
        <w:t>facilitates the evolution of sociality in lizards.</w:t>
      </w:r>
      <w:r>
        <w:rPr>
          <w:rFonts w:ascii="Calibri" w:hAnsi="Calibri"/>
          <w:sz w:val="24"/>
          <w:szCs w:val="24"/>
        </w:rPr>
        <w:t xml:space="preserve"> </w:t>
      </w:r>
      <w:r w:rsidRPr="00D069BF">
        <w:rPr>
          <w:rFonts w:ascii="Calibri" w:hAnsi="Calibri"/>
          <w:i/>
          <w:sz w:val="24"/>
          <w:szCs w:val="24"/>
        </w:rPr>
        <w:t>Proceedings of the Royal Society B</w:t>
      </w:r>
      <w:r>
        <w:rPr>
          <w:rFonts w:ascii="Calibri" w:hAnsi="Calibri"/>
          <w:sz w:val="24"/>
          <w:szCs w:val="24"/>
        </w:rPr>
        <w:t xml:space="preserve"> 288, 20202438</w:t>
      </w:r>
      <w:r w:rsidR="00316437"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</w:rPr>
        <w:t xml:space="preserve"> </w:t>
      </w:r>
      <w:proofErr w:type="spellStart"/>
      <w:r>
        <w:rPr>
          <w:rFonts w:ascii="Calibri" w:hAnsi="Calibri"/>
          <w:sz w:val="24"/>
          <w:szCs w:val="24"/>
        </w:rPr>
        <w:t>doi</w:t>
      </w:r>
      <w:proofErr w:type="spellEnd"/>
      <w:r>
        <w:rPr>
          <w:rFonts w:ascii="Calibri" w:hAnsi="Calibri"/>
          <w:sz w:val="24"/>
          <w:szCs w:val="24"/>
        </w:rPr>
        <w:t xml:space="preserve">: </w:t>
      </w:r>
      <w:r w:rsidRPr="00D069BF">
        <w:rPr>
          <w:rFonts w:ascii="Calibri" w:hAnsi="Calibri"/>
          <w:sz w:val="24"/>
          <w:szCs w:val="24"/>
        </w:rPr>
        <w:t>10.1098/rspb.2020.2438</w:t>
      </w:r>
    </w:p>
    <w:p w14:paraId="12F46D20" w14:textId="48B09074" w:rsidR="007E3B77" w:rsidRPr="001E5E23" w:rsidRDefault="007E3B77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  <w:lang w:val="en-GB"/>
        </w:rPr>
      </w:pPr>
      <w:r w:rsidRPr="001E5E23">
        <w:rPr>
          <w:rFonts w:ascii="Calibri" w:hAnsi="Calibri"/>
          <w:b/>
          <w:sz w:val="24"/>
          <w:szCs w:val="24"/>
          <w:lang w:val="en-GB"/>
        </w:rPr>
        <w:t xml:space="preserve">Biodiversity and Pollination: week </w:t>
      </w:r>
      <w:r w:rsidR="00D62D20" w:rsidRPr="001E5E23">
        <w:rPr>
          <w:rFonts w:ascii="Calibri" w:hAnsi="Calibri"/>
          <w:b/>
          <w:sz w:val="24"/>
          <w:szCs w:val="24"/>
          <w:lang w:val="en-GB"/>
        </w:rPr>
        <w:t>3</w:t>
      </w:r>
    </w:p>
    <w:p w14:paraId="6DB97D21" w14:textId="135641A9" w:rsidR="00562E9F" w:rsidRDefault="00562E9F" w:rsidP="00562E9F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Millard, J.,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Outhwaite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C.L.,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Kinnersley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R., Freeman, R., Gregory, R.D.,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Adedoja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O., </w:t>
      </w:r>
      <w:proofErr w:type="spellStart"/>
      <w:r w:rsidRPr="00562E9F">
        <w:rPr>
          <w:rFonts w:ascii="Calibri" w:hAnsi="Calibri" w:cs="Times New Roman"/>
          <w:sz w:val="24"/>
          <w:szCs w:val="24"/>
          <w:lang w:val="en-GB" w:eastAsia="en-GB"/>
        </w:rPr>
        <w:t>Gavini</w:t>
      </w:r>
      <w:proofErr w:type="spellEnd"/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, S., Kioko, E., Kuhlmann, M., Ollerton, J., Ren, Z.-X., Newbold, T. 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>2021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 Global effects of land-use intensity on local pollinator biodiversity. </w:t>
      </w:r>
      <w:r w:rsidRPr="002D4869">
        <w:rPr>
          <w:rFonts w:ascii="Calibri" w:hAnsi="Calibri" w:cs="Times New Roman"/>
          <w:i/>
          <w:iCs/>
          <w:sz w:val="24"/>
          <w:szCs w:val="24"/>
          <w:lang w:val="en-GB" w:eastAsia="en-GB"/>
        </w:rPr>
        <w:t>Nature Communications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 xml:space="preserve"> 12, 2902</w:t>
      </w:r>
      <w:r w:rsidR="00316437">
        <w:rPr>
          <w:rFonts w:ascii="Calibri" w:hAnsi="Calibri" w:cs="Times New Roman"/>
          <w:sz w:val="24"/>
          <w:szCs w:val="24"/>
          <w:lang w:val="en-GB" w:eastAsia="en-GB"/>
        </w:rPr>
        <w:t>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doi:</w:t>
      </w:r>
      <w:r w:rsidRPr="00562E9F">
        <w:rPr>
          <w:rFonts w:ascii="Calibri" w:hAnsi="Calibri" w:cs="Times New Roman"/>
          <w:sz w:val="24"/>
          <w:szCs w:val="24"/>
          <w:lang w:val="en-GB" w:eastAsia="en-GB"/>
        </w:rPr>
        <w:t>10.1038/s41467-021-23228-3</w:t>
      </w:r>
    </w:p>
    <w:p w14:paraId="4624288B" w14:textId="164CF13D" w:rsidR="00714940" w:rsidRDefault="00BC1040" w:rsidP="00BC10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Baldock, K.C.R., Goddard, M.A., Hicks, D.M., </w:t>
      </w:r>
      <w:proofErr w:type="spellStart"/>
      <w:r w:rsidRPr="00BC1040">
        <w:rPr>
          <w:rFonts w:ascii="Calibri" w:hAnsi="Calibri" w:cs="Times New Roman"/>
          <w:sz w:val="24"/>
          <w:szCs w:val="24"/>
          <w:lang w:val="en-GB" w:eastAsia="en-GB"/>
        </w:rPr>
        <w:t>Kunin</w:t>
      </w:r>
      <w:proofErr w:type="spellEnd"/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, W.E., </w:t>
      </w:r>
      <w:proofErr w:type="spellStart"/>
      <w:r w:rsidRPr="00BC1040">
        <w:rPr>
          <w:rFonts w:ascii="Calibri" w:hAnsi="Calibri" w:cs="Times New Roman"/>
          <w:sz w:val="24"/>
          <w:szCs w:val="24"/>
          <w:lang w:val="en-GB" w:eastAsia="en-GB"/>
        </w:rPr>
        <w:t>Mitschunas</w:t>
      </w:r>
      <w:proofErr w:type="spellEnd"/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, N., Morse, H., </w:t>
      </w:r>
      <w:proofErr w:type="spellStart"/>
      <w:r w:rsidRPr="00BC1040">
        <w:rPr>
          <w:rFonts w:ascii="Calibri" w:hAnsi="Calibri" w:cs="Times New Roman"/>
          <w:sz w:val="24"/>
          <w:szCs w:val="24"/>
          <w:lang w:val="en-GB" w:eastAsia="en-GB"/>
        </w:rPr>
        <w:t>Osgathorpe</w:t>
      </w:r>
      <w:proofErr w:type="spellEnd"/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, L.M., Potts, S.G., Robertson, K.M., Scott, A.V., </w:t>
      </w:r>
      <w:proofErr w:type="spellStart"/>
      <w:r w:rsidRPr="00BC1040">
        <w:rPr>
          <w:rFonts w:ascii="Calibri" w:hAnsi="Calibri" w:cs="Times New Roman"/>
          <w:sz w:val="24"/>
          <w:szCs w:val="24"/>
          <w:lang w:val="en-GB" w:eastAsia="en-GB"/>
        </w:rPr>
        <w:t>Staniczenko</w:t>
      </w:r>
      <w:proofErr w:type="spellEnd"/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, P.P.A., Stone, G.N., Vaughan, I.P., Memmott, J. </w:t>
      </w:r>
      <w:r w:rsidR="00AC1C89"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BC1040">
        <w:rPr>
          <w:rFonts w:ascii="Calibri" w:hAnsi="Calibri" w:cs="Times New Roman"/>
          <w:sz w:val="24"/>
          <w:szCs w:val="24"/>
          <w:lang w:val="en-GB" w:eastAsia="en-GB"/>
        </w:rPr>
        <w:t>2019</w:t>
      </w:r>
      <w:r w:rsidR="00AC1C89"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 A systems approach reveals urban pollinator hotspots and conservation opportunities. </w:t>
      </w:r>
      <w:r w:rsidRPr="000B2364">
        <w:rPr>
          <w:rFonts w:ascii="Calibri" w:hAnsi="Calibri" w:cs="Times New Roman"/>
          <w:i/>
          <w:iCs/>
          <w:sz w:val="24"/>
          <w:szCs w:val="24"/>
          <w:lang w:val="en-GB" w:eastAsia="en-GB"/>
        </w:rPr>
        <w:t>Nature Ecology &amp; Evolution</w:t>
      </w:r>
      <w:r w:rsidRPr="00BC1040">
        <w:rPr>
          <w:rFonts w:ascii="Calibri" w:hAnsi="Calibri" w:cs="Times New Roman"/>
          <w:sz w:val="24"/>
          <w:szCs w:val="24"/>
          <w:lang w:val="en-GB" w:eastAsia="en-GB"/>
        </w:rPr>
        <w:t xml:space="preserve"> 3, 363–373.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doi:</w:t>
      </w:r>
      <w:r w:rsidRPr="00BC1040">
        <w:rPr>
          <w:rFonts w:ascii="Calibri" w:hAnsi="Calibri" w:cs="Times New Roman"/>
          <w:sz w:val="24"/>
          <w:szCs w:val="24"/>
          <w:lang w:val="en-GB" w:eastAsia="en-GB"/>
        </w:rPr>
        <w:t>10.1038/s41559-018-0769-y</w:t>
      </w:r>
    </w:p>
    <w:p w14:paraId="20CF6670" w14:textId="4DE81D3F" w:rsidR="00883FC9" w:rsidRPr="00BC1040" w:rsidRDefault="00883FC9" w:rsidP="00883FC9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883FC9">
        <w:rPr>
          <w:rFonts w:ascii="Calibri" w:hAnsi="Calibri" w:cs="Times New Roman"/>
          <w:sz w:val="24"/>
          <w:szCs w:val="24"/>
          <w:lang w:val="en-GB" w:eastAsia="en-GB"/>
        </w:rPr>
        <w:t xml:space="preserve">Castle, D., Grass, I., Westphal, C. </w:t>
      </w:r>
      <w:r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883FC9">
        <w:rPr>
          <w:rFonts w:ascii="Calibri" w:hAnsi="Calibri" w:cs="Times New Roman"/>
          <w:sz w:val="24"/>
          <w:szCs w:val="24"/>
          <w:lang w:val="en-GB" w:eastAsia="en-GB"/>
        </w:rPr>
        <w:t>2019</w:t>
      </w:r>
      <w:r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883FC9">
        <w:rPr>
          <w:rFonts w:ascii="Calibri" w:hAnsi="Calibri" w:cs="Times New Roman"/>
          <w:sz w:val="24"/>
          <w:szCs w:val="24"/>
          <w:lang w:val="en-GB" w:eastAsia="en-GB"/>
        </w:rPr>
        <w:t xml:space="preserve"> Fruit quantity and quality of strawberries benefit from enhanced pollinator abundance at hedgerows in agricultural landscapes. </w:t>
      </w:r>
      <w:r w:rsidRPr="00883FC9">
        <w:rPr>
          <w:rFonts w:ascii="Calibri" w:hAnsi="Calibri" w:cs="Times New Roman"/>
          <w:i/>
          <w:iCs/>
          <w:sz w:val="24"/>
          <w:szCs w:val="24"/>
          <w:lang w:val="en-GB" w:eastAsia="en-GB"/>
        </w:rPr>
        <w:t>Agriculture, Ecosystems &amp; Environment</w:t>
      </w:r>
      <w:r w:rsidRPr="00883FC9">
        <w:rPr>
          <w:rFonts w:ascii="Calibri" w:hAnsi="Calibri" w:cs="Times New Roman"/>
          <w:sz w:val="24"/>
          <w:szCs w:val="24"/>
          <w:lang w:val="en-GB" w:eastAsia="en-GB"/>
        </w:rPr>
        <w:t xml:space="preserve"> 275, 14-22.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doi:</w:t>
      </w:r>
      <w:r w:rsidRPr="00883FC9">
        <w:rPr>
          <w:rFonts w:ascii="Calibri" w:hAnsi="Calibri" w:cs="Times New Roman"/>
          <w:sz w:val="24"/>
          <w:szCs w:val="24"/>
          <w:lang w:val="en-GB" w:eastAsia="en-GB"/>
        </w:rPr>
        <w:t>10.1016/j.agee.2019.01.003</w:t>
      </w:r>
    </w:p>
    <w:p w14:paraId="2868F134" w14:textId="62AC1020" w:rsidR="00C52798" w:rsidRPr="00714940" w:rsidRDefault="00714940" w:rsidP="00714940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  <w:lang w:val="en-GB"/>
        </w:rPr>
      </w:pPr>
      <w:r>
        <w:rPr>
          <w:rFonts w:ascii="Calibri" w:hAnsi="Calibri"/>
          <w:b/>
          <w:sz w:val="24"/>
          <w:szCs w:val="24"/>
          <w:lang w:val="en-GB"/>
        </w:rPr>
        <w:t>Population Genetics/Sexual Selection</w:t>
      </w:r>
      <w:r w:rsidRPr="001E5E23">
        <w:rPr>
          <w:rFonts w:ascii="Calibri" w:hAnsi="Calibri"/>
          <w:b/>
          <w:sz w:val="24"/>
          <w:szCs w:val="24"/>
          <w:lang w:val="en-GB"/>
        </w:rPr>
        <w:t xml:space="preserve">: week </w:t>
      </w:r>
      <w:r>
        <w:rPr>
          <w:rFonts w:ascii="Calibri" w:hAnsi="Calibri"/>
          <w:b/>
          <w:sz w:val="24"/>
          <w:szCs w:val="24"/>
          <w:lang w:val="en-GB"/>
        </w:rPr>
        <w:t>4</w:t>
      </w:r>
    </w:p>
    <w:p w14:paraId="335EED47" w14:textId="4A7BC4CB" w:rsidR="00714940" w:rsidRPr="00714940" w:rsidRDefault="00714940" w:rsidP="007149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Dougherty, L.R., Shuker, D.M. </w:t>
      </w:r>
      <w:r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>2015</w:t>
      </w:r>
      <w:r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 The effect of experimental design on the measurement of mate choice: a meta-analysis. </w:t>
      </w:r>
      <w:proofErr w:type="spellStart"/>
      <w:r w:rsidRPr="00714940">
        <w:rPr>
          <w:rFonts w:ascii="Calibri" w:hAnsi="Calibri" w:cs="Times New Roman"/>
          <w:i/>
          <w:iCs/>
          <w:sz w:val="24"/>
          <w:szCs w:val="24"/>
          <w:lang w:val="en-GB" w:eastAsia="en-GB"/>
        </w:rPr>
        <w:t>Behavioral</w:t>
      </w:r>
      <w:proofErr w:type="spellEnd"/>
      <w:r w:rsidRPr="00714940">
        <w:rPr>
          <w:rFonts w:ascii="Calibri" w:hAnsi="Calibri" w:cs="Times New Roman"/>
          <w:i/>
          <w:iCs/>
          <w:sz w:val="24"/>
          <w:szCs w:val="24"/>
          <w:lang w:val="en-GB" w:eastAsia="en-GB"/>
        </w:rPr>
        <w:t xml:space="preserve"> Ecology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 26, 311-319.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doi:</w:t>
      </w:r>
      <w:r w:rsidR="003D38F4" w:rsidRPr="003D38F4">
        <w:rPr>
          <w:rFonts w:ascii="Calibri" w:hAnsi="Calibri" w:cs="Times New Roman"/>
          <w:sz w:val="24"/>
          <w:szCs w:val="24"/>
          <w:lang w:val="en-GB" w:eastAsia="en-GB"/>
        </w:rPr>
        <w:t>10.1093/</w:t>
      </w:r>
      <w:proofErr w:type="spellStart"/>
      <w:r w:rsidR="003D38F4" w:rsidRPr="003D38F4">
        <w:rPr>
          <w:rFonts w:ascii="Calibri" w:hAnsi="Calibri" w:cs="Times New Roman"/>
          <w:sz w:val="24"/>
          <w:szCs w:val="24"/>
          <w:lang w:val="en-GB" w:eastAsia="en-GB"/>
        </w:rPr>
        <w:t>beheco</w:t>
      </w:r>
      <w:proofErr w:type="spellEnd"/>
      <w:r w:rsidR="003D38F4" w:rsidRPr="003D38F4">
        <w:rPr>
          <w:rFonts w:ascii="Calibri" w:hAnsi="Calibri" w:cs="Times New Roman"/>
          <w:sz w:val="24"/>
          <w:szCs w:val="24"/>
          <w:lang w:val="en-GB" w:eastAsia="en-GB"/>
        </w:rPr>
        <w:t>/aru125</w:t>
      </w:r>
    </w:p>
    <w:p w14:paraId="47FE9424" w14:textId="2CE68D50" w:rsidR="00714940" w:rsidRPr="005D7A55" w:rsidRDefault="00714940" w:rsidP="00BC1040">
      <w:pPr>
        <w:widowControl w:val="0"/>
        <w:autoSpaceDE w:val="0"/>
        <w:autoSpaceDN w:val="0"/>
        <w:adjustRightInd w:val="0"/>
        <w:spacing w:line="240" w:lineRule="auto"/>
        <w:ind w:left="567" w:right="-23" w:hanging="567"/>
        <w:rPr>
          <w:rFonts w:ascii="Calibri" w:hAnsi="Calibri" w:cs="Times New Roman"/>
          <w:sz w:val="24"/>
          <w:szCs w:val="24"/>
          <w:lang w:val="en-GB" w:eastAsia="en-GB"/>
        </w:rPr>
      </w:pP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Johnston, S.E., </w:t>
      </w:r>
      <w:proofErr w:type="spellStart"/>
      <w:r w:rsidRPr="00714940">
        <w:rPr>
          <w:rFonts w:ascii="Calibri" w:hAnsi="Calibri" w:cs="Times New Roman"/>
          <w:sz w:val="24"/>
          <w:szCs w:val="24"/>
          <w:lang w:val="en-GB" w:eastAsia="en-GB"/>
        </w:rPr>
        <w:t>Gratten</w:t>
      </w:r>
      <w:proofErr w:type="spellEnd"/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, J., </w:t>
      </w:r>
      <w:proofErr w:type="spellStart"/>
      <w:r w:rsidRPr="00714940">
        <w:rPr>
          <w:rFonts w:ascii="Calibri" w:hAnsi="Calibri" w:cs="Times New Roman"/>
          <w:sz w:val="24"/>
          <w:szCs w:val="24"/>
          <w:lang w:val="en-GB" w:eastAsia="en-GB"/>
        </w:rPr>
        <w:t>Berenos</w:t>
      </w:r>
      <w:proofErr w:type="spellEnd"/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, C., Pilkington, J.G., </w:t>
      </w:r>
      <w:proofErr w:type="spellStart"/>
      <w:r w:rsidRPr="00714940">
        <w:rPr>
          <w:rFonts w:ascii="Calibri" w:hAnsi="Calibri" w:cs="Times New Roman"/>
          <w:sz w:val="24"/>
          <w:szCs w:val="24"/>
          <w:lang w:val="en-GB" w:eastAsia="en-GB"/>
        </w:rPr>
        <w:t>Clutton</w:t>
      </w:r>
      <w:proofErr w:type="spellEnd"/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-Brock, T.H., Pemberton, J.M., Slate, J. </w:t>
      </w:r>
      <w:r>
        <w:rPr>
          <w:rFonts w:ascii="Calibri" w:hAnsi="Calibri" w:cs="Times New Roman"/>
          <w:sz w:val="24"/>
          <w:szCs w:val="24"/>
          <w:lang w:val="en-GB" w:eastAsia="en-GB"/>
        </w:rPr>
        <w:t>(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>2013</w:t>
      </w:r>
      <w:r>
        <w:rPr>
          <w:rFonts w:ascii="Calibri" w:hAnsi="Calibri" w:cs="Times New Roman"/>
          <w:sz w:val="24"/>
          <w:szCs w:val="24"/>
          <w:lang w:val="en-GB" w:eastAsia="en-GB"/>
        </w:rPr>
        <w:t>)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 Life history trade-offs at a single locus maintain sexually selected genetic variation. </w:t>
      </w:r>
      <w:r w:rsidRPr="00714940">
        <w:rPr>
          <w:rFonts w:ascii="Calibri" w:hAnsi="Calibri" w:cs="Times New Roman"/>
          <w:i/>
          <w:iCs/>
          <w:sz w:val="24"/>
          <w:szCs w:val="24"/>
          <w:lang w:val="en-GB" w:eastAsia="en-GB"/>
        </w:rPr>
        <w:t>Nature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 xml:space="preserve"> 502, 93-95.</w:t>
      </w:r>
      <w:r>
        <w:rPr>
          <w:rFonts w:ascii="Calibri" w:hAnsi="Calibri" w:cs="Times New Roman"/>
          <w:sz w:val="24"/>
          <w:szCs w:val="24"/>
          <w:lang w:val="en-GB" w:eastAsia="en-GB"/>
        </w:rPr>
        <w:t xml:space="preserve"> doi:</w:t>
      </w:r>
      <w:r w:rsidRPr="00714940">
        <w:rPr>
          <w:rFonts w:ascii="Calibri" w:hAnsi="Calibri" w:cs="Times New Roman"/>
          <w:sz w:val="24"/>
          <w:szCs w:val="24"/>
          <w:lang w:val="en-GB" w:eastAsia="en-GB"/>
        </w:rPr>
        <w:t>10.1038/nature12489</w:t>
      </w:r>
    </w:p>
    <w:p w14:paraId="575BC44B" w14:textId="38CC6404" w:rsidR="00115826" w:rsidRPr="001E5E23" w:rsidRDefault="00761D23" w:rsidP="008D7E38">
      <w:pPr>
        <w:tabs>
          <w:tab w:val="left" w:pos="13041"/>
        </w:tabs>
        <w:ind w:left="567" w:right="-24" w:hanging="567"/>
        <w:rPr>
          <w:rFonts w:ascii="Calibri" w:hAnsi="Calibri"/>
          <w:b/>
          <w:sz w:val="24"/>
          <w:szCs w:val="24"/>
        </w:rPr>
      </w:pPr>
      <w:r w:rsidRPr="001E5E23">
        <w:rPr>
          <w:rFonts w:ascii="Calibri" w:hAnsi="Calibri"/>
          <w:b/>
          <w:sz w:val="24"/>
          <w:szCs w:val="24"/>
        </w:rPr>
        <w:t>Social Evolution: week 5</w:t>
      </w:r>
    </w:p>
    <w:p w14:paraId="0E63E2F6" w14:textId="182CEC9E" w:rsidR="00526CAD" w:rsidRPr="00526CAD" w:rsidRDefault="00526CAD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526CAD">
        <w:rPr>
          <w:rFonts w:ascii="Calibri" w:hAnsi="Calibri"/>
          <w:sz w:val="24"/>
          <w:szCs w:val="24"/>
        </w:rPr>
        <w:t>Ostwald, M.M., Fox, T.P., Harrison, J.F., Fewell, J.H. (2021) Social consequences of energetically costly nest construction in a facultatively social bee.</w:t>
      </w:r>
      <w:r w:rsidR="002D4869">
        <w:rPr>
          <w:rFonts w:ascii="Calibri" w:hAnsi="Calibri"/>
          <w:sz w:val="24"/>
          <w:szCs w:val="24"/>
        </w:rPr>
        <w:t xml:space="preserve"> </w:t>
      </w:r>
      <w:r w:rsidRPr="00526CAD">
        <w:rPr>
          <w:rFonts w:ascii="Calibri" w:hAnsi="Calibri"/>
          <w:i/>
          <w:iCs/>
          <w:sz w:val="24"/>
          <w:szCs w:val="24"/>
        </w:rPr>
        <w:t xml:space="preserve">Proceedings of the Royal Society B </w:t>
      </w:r>
      <w:r w:rsidRPr="00A6304D">
        <w:rPr>
          <w:rFonts w:ascii="Calibri" w:hAnsi="Calibri"/>
          <w:sz w:val="24"/>
          <w:szCs w:val="24"/>
        </w:rPr>
        <w:t>288</w:t>
      </w:r>
      <w:r w:rsidRPr="00032C36">
        <w:rPr>
          <w:rFonts w:ascii="Calibri" w:hAnsi="Calibri"/>
          <w:sz w:val="24"/>
          <w:szCs w:val="24"/>
        </w:rPr>
        <w:t>,</w:t>
      </w:r>
      <w:r w:rsidRPr="00526CAD">
        <w:rPr>
          <w:rFonts w:ascii="Calibri" w:hAnsi="Calibri"/>
          <w:sz w:val="24"/>
          <w:szCs w:val="24"/>
        </w:rPr>
        <w:t xml:space="preserve"> 20210033. doi:10.1098/rspb.2021.0033</w:t>
      </w:r>
    </w:p>
    <w:p w14:paraId="2906AED1" w14:textId="136811B3" w:rsidR="00526CAD" w:rsidRPr="00526CAD" w:rsidRDefault="00526CAD" w:rsidP="00526CAD">
      <w:pPr>
        <w:pStyle w:val="p1"/>
        <w:spacing w:after="200"/>
        <w:ind w:left="567" w:right="-24" w:hanging="567"/>
        <w:rPr>
          <w:rFonts w:ascii="Calibri" w:hAnsi="Calibri"/>
          <w:sz w:val="24"/>
          <w:szCs w:val="24"/>
        </w:rPr>
      </w:pPr>
      <w:r w:rsidRPr="00526CAD">
        <w:rPr>
          <w:rFonts w:ascii="Calibri" w:hAnsi="Calibri"/>
          <w:sz w:val="24"/>
          <w:szCs w:val="24"/>
        </w:rPr>
        <w:t>Pennell, T.M., Field, J. (2020) Split sex ratios and genetic relatedness in a primitively eusocial sweat bee. </w:t>
      </w:r>
      <w:proofErr w:type="spellStart"/>
      <w:r w:rsidRPr="00526CAD">
        <w:rPr>
          <w:rFonts w:ascii="Calibri" w:hAnsi="Calibri"/>
          <w:i/>
          <w:iCs/>
          <w:sz w:val="24"/>
          <w:szCs w:val="24"/>
        </w:rPr>
        <w:t>Behavioral</w:t>
      </w:r>
      <w:proofErr w:type="spellEnd"/>
      <w:r w:rsidRPr="00526CAD">
        <w:rPr>
          <w:rFonts w:ascii="Calibri" w:hAnsi="Calibri"/>
          <w:i/>
          <w:iCs/>
          <w:sz w:val="24"/>
          <w:szCs w:val="24"/>
        </w:rPr>
        <w:t xml:space="preserve"> Ecology </w:t>
      </w:r>
      <w:r w:rsidR="00032C36">
        <w:rPr>
          <w:rFonts w:ascii="Calibri" w:hAnsi="Calibri"/>
          <w:i/>
          <w:iCs/>
          <w:sz w:val="24"/>
          <w:szCs w:val="24"/>
        </w:rPr>
        <w:t>&amp;</w:t>
      </w:r>
      <w:r w:rsidRPr="00526CAD">
        <w:rPr>
          <w:rFonts w:ascii="Calibri" w:hAnsi="Calibri"/>
          <w:i/>
          <w:iCs/>
          <w:sz w:val="24"/>
          <w:szCs w:val="24"/>
        </w:rPr>
        <w:t xml:space="preserve"> </w:t>
      </w:r>
      <w:proofErr w:type="spellStart"/>
      <w:r w:rsidRPr="00526CAD">
        <w:rPr>
          <w:rFonts w:ascii="Calibri" w:hAnsi="Calibri"/>
          <w:i/>
          <w:iCs/>
          <w:sz w:val="24"/>
          <w:szCs w:val="24"/>
        </w:rPr>
        <w:t>Sociobiology</w:t>
      </w:r>
      <w:proofErr w:type="spellEnd"/>
      <w:r w:rsidRPr="00526CAD">
        <w:rPr>
          <w:rFonts w:ascii="Calibri" w:hAnsi="Calibri"/>
          <w:i/>
          <w:iCs/>
          <w:sz w:val="24"/>
          <w:szCs w:val="24"/>
        </w:rPr>
        <w:t xml:space="preserve"> </w:t>
      </w:r>
      <w:r w:rsidRPr="00A6304D">
        <w:rPr>
          <w:rFonts w:ascii="Calibri" w:hAnsi="Calibri"/>
          <w:sz w:val="24"/>
          <w:szCs w:val="24"/>
        </w:rPr>
        <w:t>75</w:t>
      </w:r>
      <w:r w:rsidRPr="00526CAD">
        <w:rPr>
          <w:rFonts w:ascii="Calibri" w:hAnsi="Calibri"/>
          <w:sz w:val="24"/>
          <w:szCs w:val="24"/>
        </w:rPr>
        <w:t>, 5. doi:10.1007/s00265-020-02944-8</w:t>
      </w:r>
    </w:p>
    <w:p w14:paraId="5B377E89" w14:textId="45BC8075" w:rsidR="003C4CC5" w:rsidRPr="003C4CC5" w:rsidRDefault="003C4CC5" w:rsidP="003C4CC5">
      <w:pPr>
        <w:pStyle w:val="p1"/>
        <w:spacing w:after="200"/>
        <w:ind w:left="567" w:right="-24" w:hanging="567"/>
        <w:rPr>
          <w:rFonts w:ascii="Calibri" w:hAnsi="Calibri"/>
          <w:color w:val="000000" w:themeColor="text1"/>
          <w:sz w:val="24"/>
          <w:szCs w:val="24"/>
        </w:rPr>
      </w:pPr>
      <w:r w:rsidRPr="003C4CC5">
        <w:rPr>
          <w:rFonts w:ascii="Calibri" w:hAnsi="Calibri"/>
          <w:color w:val="000000" w:themeColor="text1"/>
          <w:sz w:val="24"/>
          <w:szCs w:val="24"/>
        </w:rPr>
        <w:lastRenderedPageBreak/>
        <w:t>Rubenstein, D. R. (2011) Spatiotemporal environmental variation, risk aversion, and the evolution of cooperative breeding as a bet-hedging strategy.</w:t>
      </w:r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3C4CC5">
        <w:rPr>
          <w:rFonts w:ascii="Calibri" w:hAnsi="Calibri"/>
          <w:i/>
          <w:iCs/>
          <w:color w:val="000000" w:themeColor="text1"/>
          <w:sz w:val="24"/>
          <w:szCs w:val="24"/>
        </w:rPr>
        <w:t xml:space="preserve">Proceedings of the National Academy of Sciences </w:t>
      </w:r>
      <w:r w:rsidRPr="003C4CC5">
        <w:rPr>
          <w:rFonts w:ascii="Calibri" w:hAnsi="Calibri"/>
          <w:color w:val="000000" w:themeColor="text1"/>
          <w:sz w:val="24"/>
          <w:szCs w:val="24"/>
        </w:rPr>
        <w:t>108, 10816. doi:10.1073/pnas.1100303108</w:t>
      </w:r>
    </w:p>
    <w:p w14:paraId="33F2C81E" w14:textId="39EA3326" w:rsidR="00150507" w:rsidRPr="001E5E23" w:rsidRDefault="00150507" w:rsidP="008D7E38">
      <w:pPr>
        <w:pStyle w:val="p1"/>
        <w:spacing w:after="200"/>
        <w:ind w:left="567" w:right="-24" w:hanging="567"/>
        <w:rPr>
          <w:rFonts w:ascii="Calibri" w:hAnsi="Calibri"/>
          <w:color w:val="000000" w:themeColor="text1"/>
          <w:sz w:val="24"/>
          <w:szCs w:val="24"/>
        </w:rPr>
      </w:pPr>
    </w:p>
    <w:sectPr w:rsidR="00150507" w:rsidRPr="001E5E23" w:rsidSect="00FD6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103165"/>
    <w:multiLevelType w:val="hybridMultilevel"/>
    <w:tmpl w:val="B7A4A4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4DC6"/>
    <w:rsid w:val="00014EF3"/>
    <w:rsid w:val="00017202"/>
    <w:rsid w:val="00032C36"/>
    <w:rsid w:val="000359BD"/>
    <w:rsid w:val="00052467"/>
    <w:rsid w:val="00056F0E"/>
    <w:rsid w:val="00057908"/>
    <w:rsid w:val="000B2364"/>
    <w:rsid w:val="000C126C"/>
    <w:rsid w:val="000C4804"/>
    <w:rsid w:val="000D722B"/>
    <w:rsid w:val="000F4508"/>
    <w:rsid w:val="00107245"/>
    <w:rsid w:val="00115826"/>
    <w:rsid w:val="00150507"/>
    <w:rsid w:val="001670D6"/>
    <w:rsid w:val="001E5E23"/>
    <w:rsid w:val="00245ACE"/>
    <w:rsid w:val="00252D3A"/>
    <w:rsid w:val="002D0332"/>
    <w:rsid w:val="002D4869"/>
    <w:rsid w:val="002F6A3C"/>
    <w:rsid w:val="00316437"/>
    <w:rsid w:val="00330FAF"/>
    <w:rsid w:val="003B132B"/>
    <w:rsid w:val="003C4CC5"/>
    <w:rsid w:val="003D38F4"/>
    <w:rsid w:val="003F33FC"/>
    <w:rsid w:val="003F55C1"/>
    <w:rsid w:val="004000FD"/>
    <w:rsid w:val="004054A4"/>
    <w:rsid w:val="0042420A"/>
    <w:rsid w:val="00431115"/>
    <w:rsid w:val="00440CCC"/>
    <w:rsid w:val="00482776"/>
    <w:rsid w:val="00483F5C"/>
    <w:rsid w:val="004A3760"/>
    <w:rsid w:val="004A7942"/>
    <w:rsid w:val="004B4DC6"/>
    <w:rsid w:val="004C24AA"/>
    <w:rsid w:val="00501B8F"/>
    <w:rsid w:val="00526CAD"/>
    <w:rsid w:val="00546789"/>
    <w:rsid w:val="00562E9F"/>
    <w:rsid w:val="005679BF"/>
    <w:rsid w:val="0057707F"/>
    <w:rsid w:val="00591A5D"/>
    <w:rsid w:val="005A2D8C"/>
    <w:rsid w:val="005B1894"/>
    <w:rsid w:val="005B57FC"/>
    <w:rsid w:val="005D7A55"/>
    <w:rsid w:val="006133A6"/>
    <w:rsid w:val="00625D2E"/>
    <w:rsid w:val="00630670"/>
    <w:rsid w:val="006510D9"/>
    <w:rsid w:val="00663048"/>
    <w:rsid w:val="00690CAE"/>
    <w:rsid w:val="006B53DC"/>
    <w:rsid w:val="006C650D"/>
    <w:rsid w:val="006D73F4"/>
    <w:rsid w:val="006F5031"/>
    <w:rsid w:val="00714940"/>
    <w:rsid w:val="00742324"/>
    <w:rsid w:val="00761D23"/>
    <w:rsid w:val="00785360"/>
    <w:rsid w:val="007E3B77"/>
    <w:rsid w:val="007E427A"/>
    <w:rsid w:val="007F32EB"/>
    <w:rsid w:val="007F59C5"/>
    <w:rsid w:val="008029FA"/>
    <w:rsid w:val="00820AD1"/>
    <w:rsid w:val="00821677"/>
    <w:rsid w:val="0082472A"/>
    <w:rsid w:val="00831A16"/>
    <w:rsid w:val="00877DAA"/>
    <w:rsid w:val="00883FC9"/>
    <w:rsid w:val="00894266"/>
    <w:rsid w:val="0089524B"/>
    <w:rsid w:val="00896404"/>
    <w:rsid w:val="00896D92"/>
    <w:rsid w:val="008D2D4A"/>
    <w:rsid w:val="008D652E"/>
    <w:rsid w:val="008D7E38"/>
    <w:rsid w:val="00952AAB"/>
    <w:rsid w:val="00956183"/>
    <w:rsid w:val="009713D2"/>
    <w:rsid w:val="00992562"/>
    <w:rsid w:val="009D7C4A"/>
    <w:rsid w:val="009F1A2B"/>
    <w:rsid w:val="009F3CF7"/>
    <w:rsid w:val="00A30DDD"/>
    <w:rsid w:val="00A321B1"/>
    <w:rsid w:val="00A6304D"/>
    <w:rsid w:val="00AA10F1"/>
    <w:rsid w:val="00AB3F68"/>
    <w:rsid w:val="00AC1C89"/>
    <w:rsid w:val="00AD6624"/>
    <w:rsid w:val="00AE252E"/>
    <w:rsid w:val="00B16EEC"/>
    <w:rsid w:val="00B27229"/>
    <w:rsid w:val="00B27893"/>
    <w:rsid w:val="00B623E5"/>
    <w:rsid w:val="00B90846"/>
    <w:rsid w:val="00BA632B"/>
    <w:rsid w:val="00BC1040"/>
    <w:rsid w:val="00BF1F8C"/>
    <w:rsid w:val="00BF261E"/>
    <w:rsid w:val="00C07818"/>
    <w:rsid w:val="00C35E24"/>
    <w:rsid w:val="00C52798"/>
    <w:rsid w:val="00C55A12"/>
    <w:rsid w:val="00C76E8D"/>
    <w:rsid w:val="00CA5DD2"/>
    <w:rsid w:val="00CD14E5"/>
    <w:rsid w:val="00CF69C7"/>
    <w:rsid w:val="00D11615"/>
    <w:rsid w:val="00D3363F"/>
    <w:rsid w:val="00D62D20"/>
    <w:rsid w:val="00D86D63"/>
    <w:rsid w:val="00DC0E4E"/>
    <w:rsid w:val="00DE221D"/>
    <w:rsid w:val="00DE41CE"/>
    <w:rsid w:val="00E02A62"/>
    <w:rsid w:val="00E12CD5"/>
    <w:rsid w:val="00E417FB"/>
    <w:rsid w:val="00E55F74"/>
    <w:rsid w:val="00E65774"/>
    <w:rsid w:val="00EA3FE4"/>
    <w:rsid w:val="00EA4424"/>
    <w:rsid w:val="00EF7605"/>
    <w:rsid w:val="00F12A60"/>
    <w:rsid w:val="00F1775B"/>
    <w:rsid w:val="00F17A72"/>
    <w:rsid w:val="00F63E12"/>
    <w:rsid w:val="00F66E74"/>
    <w:rsid w:val="00F73CD2"/>
    <w:rsid w:val="00F87214"/>
    <w:rsid w:val="00FD63E1"/>
    <w:rsid w:val="00FE54C2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C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qFormat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  <w:style w:type="character" w:customStyle="1" w:styleId="apple-tab-span">
    <w:name w:val="apple-tab-span"/>
    <w:basedOn w:val="DefaultParagraphFont"/>
    <w:rsid w:val="00A30DDD"/>
  </w:style>
  <w:style w:type="character" w:customStyle="1" w:styleId="InternetLink">
    <w:name w:val="Internet Link"/>
    <w:rsid w:val="00DE41CE"/>
    <w:rPr>
      <w:color w:val="000080"/>
      <w:u w:val="single"/>
    </w:rPr>
  </w:style>
  <w:style w:type="character" w:styleId="Hyperlink">
    <w:name w:val="Hyperlink"/>
    <w:basedOn w:val="DefaultParagraphFont"/>
    <w:uiPriority w:val="99"/>
    <w:unhideWhenUsed/>
    <w:rsid w:val="001E5E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562E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6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1802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4346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7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98/rsos.171332" TargetMode="External"/><Relationship Id="rId5" Type="http://schemas.openxmlformats.org/officeDocument/2006/relationships/hyperlink" Target="https://doi.org/10.3389/fevo.2020.0007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52</cp:revision>
  <dcterms:created xsi:type="dcterms:W3CDTF">2018-05-03T07:10:00Z</dcterms:created>
  <dcterms:modified xsi:type="dcterms:W3CDTF">2021-06-06T06:57:00Z</dcterms:modified>
</cp:coreProperties>
</file>