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67B" w:rsidRDefault="0015167B" w:rsidP="0015167B"/>
    <w:p w:rsidR="0015167B" w:rsidRDefault="0015167B" w:rsidP="0015167B"/>
    <w:p w:rsidR="0015167B" w:rsidRPr="0009622B" w:rsidRDefault="0015167B" w:rsidP="0015167B">
      <w:pPr>
        <w:rPr>
          <w:b/>
          <w:sz w:val="24"/>
          <w:szCs w:val="24"/>
        </w:rPr>
      </w:pPr>
      <w:r>
        <w:rPr>
          <w:b/>
          <w:sz w:val="24"/>
          <w:szCs w:val="24"/>
        </w:rPr>
        <w:t xml:space="preserve"> </w:t>
      </w:r>
    </w:p>
    <w:p w:rsidR="0015167B" w:rsidRPr="002B491F" w:rsidRDefault="0015167B" w:rsidP="0015167B">
      <w:pPr>
        <w:rPr>
          <w:rFonts w:ascii="Arial" w:hAnsi="Arial" w:cs="Arial"/>
          <w:b/>
          <w:sz w:val="24"/>
          <w:szCs w:val="24"/>
        </w:rPr>
      </w:pPr>
    </w:p>
    <w:p w:rsidR="0015167B" w:rsidRPr="002B491F" w:rsidRDefault="0015167B" w:rsidP="0015167B">
      <w:pPr>
        <w:rPr>
          <w:rFonts w:ascii="Arial" w:hAnsi="Arial" w:cs="Arial"/>
          <w:sz w:val="24"/>
          <w:szCs w:val="24"/>
        </w:rPr>
      </w:pPr>
      <w:r w:rsidRPr="002B491F">
        <w:rPr>
          <w:rFonts w:ascii="Arial" w:hAnsi="Arial" w:cs="Arial"/>
          <w:sz w:val="24"/>
          <w:szCs w:val="24"/>
        </w:rPr>
        <w:t xml:space="preserve">Rektorat, Dekanate </w:t>
      </w:r>
    </w:p>
    <w:p w:rsidR="0015167B" w:rsidRPr="002B491F" w:rsidRDefault="0015167B" w:rsidP="0015167B">
      <w:pPr>
        <w:rPr>
          <w:rFonts w:ascii="Arial" w:hAnsi="Arial" w:cs="Arial"/>
          <w:sz w:val="24"/>
          <w:szCs w:val="24"/>
        </w:rPr>
      </w:pPr>
      <w:r w:rsidRPr="002B491F">
        <w:rPr>
          <w:rFonts w:ascii="Arial" w:hAnsi="Arial" w:cs="Arial"/>
          <w:sz w:val="24"/>
          <w:szCs w:val="24"/>
        </w:rPr>
        <w:t xml:space="preserve">Theologische Fakultät, </w:t>
      </w:r>
    </w:p>
    <w:p w:rsidR="0015167B" w:rsidRPr="002B491F" w:rsidRDefault="0015167B" w:rsidP="0015167B">
      <w:pPr>
        <w:rPr>
          <w:rFonts w:ascii="Arial" w:hAnsi="Arial" w:cs="Arial"/>
          <w:sz w:val="24"/>
          <w:szCs w:val="24"/>
        </w:rPr>
      </w:pPr>
      <w:r w:rsidRPr="002B491F">
        <w:rPr>
          <w:rFonts w:ascii="Arial" w:hAnsi="Arial" w:cs="Arial"/>
          <w:sz w:val="24"/>
          <w:szCs w:val="24"/>
        </w:rPr>
        <w:t>Juristische und Wirtschaftswissenschaftliche Fakultät</w:t>
      </w:r>
    </w:p>
    <w:p w:rsidR="0015167B" w:rsidRPr="002B491F" w:rsidRDefault="0015167B" w:rsidP="0015167B">
      <w:pPr>
        <w:rPr>
          <w:rFonts w:ascii="Arial" w:hAnsi="Arial" w:cs="Arial"/>
          <w:sz w:val="24"/>
          <w:szCs w:val="24"/>
        </w:rPr>
      </w:pPr>
      <w:r w:rsidRPr="002B491F">
        <w:rPr>
          <w:rFonts w:ascii="Arial" w:hAnsi="Arial" w:cs="Arial"/>
          <w:sz w:val="24"/>
          <w:szCs w:val="24"/>
        </w:rPr>
        <w:t>Philosophische Fakultät I-III</w:t>
      </w:r>
    </w:p>
    <w:p w:rsidR="0015167B" w:rsidRPr="002B491F" w:rsidRDefault="0015167B" w:rsidP="0015167B">
      <w:pPr>
        <w:rPr>
          <w:rFonts w:ascii="Arial" w:hAnsi="Arial" w:cs="Arial"/>
          <w:sz w:val="24"/>
          <w:szCs w:val="24"/>
        </w:rPr>
      </w:pPr>
      <w:r w:rsidRPr="002B491F">
        <w:rPr>
          <w:rFonts w:ascii="Arial" w:hAnsi="Arial" w:cs="Arial"/>
          <w:sz w:val="24"/>
          <w:szCs w:val="24"/>
        </w:rPr>
        <w:t xml:space="preserve">Naturwissenschaftliche Fakultät I-III </w:t>
      </w:r>
    </w:p>
    <w:p w:rsidR="0015167B" w:rsidRPr="002B491F" w:rsidRDefault="0015167B" w:rsidP="0015167B">
      <w:pPr>
        <w:rPr>
          <w:rFonts w:ascii="Arial" w:hAnsi="Arial" w:cs="Arial"/>
          <w:sz w:val="24"/>
          <w:szCs w:val="24"/>
        </w:rPr>
      </w:pPr>
      <w:r w:rsidRPr="002B491F">
        <w:rPr>
          <w:rFonts w:ascii="Arial" w:hAnsi="Arial" w:cs="Arial"/>
          <w:sz w:val="24"/>
          <w:szCs w:val="24"/>
        </w:rPr>
        <w:t xml:space="preserve">Leiter der Zentralen Einrichtungen  </w:t>
      </w:r>
    </w:p>
    <w:p w:rsidR="0015167B" w:rsidRPr="002B491F" w:rsidRDefault="0015167B" w:rsidP="0015167B">
      <w:pPr>
        <w:rPr>
          <w:rFonts w:ascii="Arial" w:hAnsi="Arial" w:cs="Arial"/>
          <w:sz w:val="24"/>
          <w:szCs w:val="24"/>
        </w:rPr>
      </w:pPr>
      <w:r w:rsidRPr="002B491F">
        <w:rPr>
          <w:rFonts w:ascii="Arial" w:hAnsi="Arial" w:cs="Arial"/>
          <w:sz w:val="24"/>
          <w:szCs w:val="24"/>
        </w:rPr>
        <w:t>der Martin-Luther-Universität Halle-Wittenberg</w:t>
      </w:r>
    </w:p>
    <w:p w:rsidR="0015167B" w:rsidRPr="002B491F" w:rsidRDefault="0015167B" w:rsidP="0015167B">
      <w:pPr>
        <w:rPr>
          <w:rFonts w:ascii="Arial" w:hAnsi="Arial" w:cs="Arial"/>
          <w:sz w:val="24"/>
          <w:szCs w:val="24"/>
        </w:rPr>
      </w:pPr>
    </w:p>
    <w:p w:rsidR="0015167B" w:rsidRPr="002B491F" w:rsidRDefault="0015167B" w:rsidP="0015167B">
      <w:pPr>
        <w:spacing w:line="140" w:lineRule="exact"/>
        <w:rPr>
          <w:rFonts w:ascii="Arial" w:hAnsi="Arial" w:cs="Arial"/>
          <w:sz w:val="24"/>
          <w:szCs w:val="24"/>
        </w:rPr>
      </w:pPr>
    </w:p>
    <w:p w:rsidR="0015167B" w:rsidRPr="002B491F" w:rsidRDefault="0015167B" w:rsidP="0015167B">
      <w:pPr>
        <w:rPr>
          <w:rFonts w:ascii="Arial" w:hAnsi="Arial" w:cs="Arial"/>
          <w:sz w:val="24"/>
          <w:szCs w:val="24"/>
        </w:rPr>
      </w:pPr>
      <w:r w:rsidRPr="002B491F">
        <w:rPr>
          <w:rFonts w:ascii="Arial" w:hAnsi="Arial" w:cs="Arial"/>
          <w:sz w:val="24"/>
          <w:szCs w:val="24"/>
        </w:rPr>
        <w:t xml:space="preserve">                                            </w:t>
      </w:r>
      <w:r w:rsidRPr="002B491F">
        <w:rPr>
          <w:rFonts w:ascii="Arial" w:hAnsi="Arial" w:cs="Arial"/>
          <w:sz w:val="24"/>
          <w:szCs w:val="24"/>
        </w:rPr>
        <w:tab/>
      </w:r>
      <w:r w:rsidRPr="002B491F">
        <w:rPr>
          <w:rFonts w:ascii="Arial" w:hAnsi="Arial" w:cs="Arial"/>
          <w:sz w:val="24"/>
          <w:szCs w:val="24"/>
        </w:rPr>
        <w:tab/>
      </w:r>
      <w:r w:rsidRPr="002B491F">
        <w:rPr>
          <w:rFonts w:ascii="Arial" w:hAnsi="Arial" w:cs="Arial"/>
          <w:sz w:val="24"/>
          <w:szCs w:val="24"/>
        </w:rPr>
        <w:tab/>
        <w:t xml:space="preserve">   </w:t>
      </w:r>
      <w:proofErr w:type="spellStart"/>
      <w:r>
        <w:rPr>
          <w:rFonts w:ascii="Arial" w:hAnsi="Arial" w:cs="Arial"/>
          <w:sz w:val="24"/>
          <w:szCs w:val="24"/>
        </w:rPr>
        <w:t>Böd</w:t>
      </w:r>
      <w:proofErr w:type="spellEnd"/>
      <w:r>
        <w:rPr>
          <w:rFonts w:ascii="Arial" w:hAnsi="Arial" w:cs="Arial"/>
          <w:sz w:val="24"/>
          <w:szCs w:val="24"/>
        </w:rPr>
        <w:t xml:space="preserve">.                </w:t>
      </w:r>
      <w:r w:rsidRPr="002B491F">
        <w:rPr>
          <w:rFonts w:ascii="Arial" w:hAnsi="Arial" w:cs="Arial"/>
          <w:sz w:val="24"/>
          <w:szCs w:val="24"/>
        </w:rPr>
        <w:t xml:space="preserve">    </w:t>
      </w:r>
      <w:r>
        <w:rPr>
          <w:rFonts w:ascii="Arial" w:hAnsi="Arial" w:cs="Arial"/>
          <w:sz w:val="24"/>
          <w:szCs w:val="24"/>
        </w:rPr>
        <w:t>2018</w:t>
      </w:r>
      <w:r w:rsidRPr="00F9395B">
        <w:rPr>
          <w:rFonts w:ascii="Arial" w:hAnsi="Arial" w:cs="Arial"/>
          <w:sz w:val="24"/>
          <w:szCs w:val="24"/>
        </w:rPr>
        <w:t>-01-</w:t>
      </w:r>
      <w:r w:rsidR="00E74AB1">
        <w:rPr>
          <w:rFonts w:ascii="Arial" w:hAnsi="Arial" w:cs="Arial"/>
          <w:sz w:val="24"/>
          <w:szCs w:val="24"/>
        </w:rPr>
        <w:t>02</w:t>
      </w:r>
    </w:p>
    <w:p w:rsidR="0015167B" w:rsidRPr="002B491F" w:rsidRDefault="0015167B" w:rsidP="0015167B">
      <w:pPr>
        <w:rPr>
          <w:rFonts w:ascii="Arial" w:hAnsi="Arial" w:cs="Arial"/>
          <w:sz w:val="24"/>
          <w:szCs w:val="24"/>
        </w:rPr>
      </w:pPr>
    </w:p>
    <w:p w:rsidR="0015167B" w:rsidRPr="002B491F" w:rsidRDefault="0015167B" w:rsidP="0015167B">
      <w:pPr>
        <w:rPr>
          <w:rFonts w:ascii="Arial" w:hAnsi="Arial" w:cs="Arial"/>
          <w:sz w:val="24"/>
          <w:szCs w:val="24"/>
        </w:rPr>
      </w:pPr>
    </w:p>
    <w:p w:rsidR="0015167B" w:rsidRDefault="0015167B" w:rsidP="0015167B">
      <w:pPr>
        <w:rPr>
          <w:rFonts w:ascii="Arial" w:hAnsi="Arial" w:cs="Arial"/>
          <w:b/>
          <w:sz w:val="24"/>
          <w:szCs w:val="24"/>
        </w:rPr>
      </w:pPr>
      <w:r w:rsidRPr="002B491F">
        <w:rPr>
          <w:rFonts w:ascii="Arial" w:hAnsi="Arial" w:cs="Arial"/>
          <w:b/>
          <w:sz w:val="24"/>
          <w:szCs w:val="24"/>
        </w:rPr>
        <w:t>Korruptionsprävention und</w:t>
      </w:r>
      <w:r>
        <w:rPr>
          <w:rFonts w:ascii="Arial" w:hAnsi="Arial" w:cs="Arial"/>
          <w:b/>
          <w:sz w:val="24"/>
          <w:szCs w:val="24"/>
        </w:rPr>
        <w:t xml:space="preserve"> </w:t>
      </w:r>
      <w:r w:rsidRPr="002B491F">
        <w:rPr>
          <w:rFonts w:ascii="Arial" w:hAnsi="Arial" w:cs="Arial"/>
          <w:b/>
          <w:sz w:val="24"/>
          <w:szCs w:val="24"/>
        </w:rPr>
        <w:t>-bekämpfung</w:t>
      </w:r>
    </w:p>
    <w:p w:rsidR="0015167B" w:rsidRPr="002B491F" w:rsidRDefault="0015167B" w:rsidP="0015167B">
      <w:pPr>
        <w:rPr>
          <w:rFonts w:ascii="Arial" w:hAnsi="Arial" w:cs="Arial"/>
          <w:b/>
          <w:sz w:val="24"/>
          <w:szCs w:val="24"/>
        </w:rPr>
      </w:pPr>
    </w:p>
    <w:p w:rsidR="0015167B" w:rsidRPr="002B491F" w:rsidRDefault="0015167B" w:rsidP="0015167B">
      <w:pPr>
        <w:tabs>
          <w:tab w:val="left" w:pos="851"/>
        </w:tabs>
        <w:rPr>
          <w:rFonts w:ascii="Arial" w:hAnsi="Arial" w:cs="Arial"/>
          <w:sz w:val="24"/>
          <w:szCs w:val="24"/>
        </w:rPr>
      </w:pPr>
      <w:r w:rsidRPr="002B491F">
        <w:rPr>
          <w:rFonts w:ascii="Arial" w:hAnsi="Arial" w:cs="Arial"/>
          <w:sz w:val="24"/>
          <w:szCs w:val="24"/>
        </w:rPr>
        <w:t xml:space="preserve">Verwaltungsvorschrift zur Vermeidung und Bekämpfung der Korruption </w:t>
      </w:r>
    </w:p>
    <w:p w:rsidR="0015167B" w:rsidRPr="002B491F" w:rsidRDefault="0015167B" w:rsidP="0015167B">
      <w:pPr>
        <w:tabs>
          <w:tab w:val="left" w:pos="851"/>
        </w:tabs>
        <w:rPr>
          <w:rFonts w:ascii="Arial" w:hAnsi="Arial" w:cs="Arial"/>
          <w:b/>
          <w:sz w:val="24"/>
          <w:szCs w:val="24"/>
          <w:u w:val="single"/>
        </w:rPr>
      </w:pPr>
      <w:r w:rsidRPr="002B491F">
        <w:rPr>
          <w:rFonts w:ascii="Arial" w:hAnsi="Arial" w:cs="Arial"/>
          <w:sz w:val="24"/>
          <w:szCs w:val="24"/>
        </w:rPr>
        <w:t xml:space="preserve">(gem. </w:t>
      </w:r>
      <w:proofErr w:type="spellStart"/>
      <w:r w:rsidRPr="002B491F">
        <w:rPr>
          <w:rFonts w:ascii="Arial" w:hAnsi="Arial" w:cs="Arial"/>
          <w:sz w:val="24"/>
          <w:szCs w:val="24"/>
        </w:rPr>
        <w:t>RdErl</w:t>
      </w:r>
      <w:proofErr w:type="spellEnd"/>
      <w:r w:rsidRPr="002B491F">
        <w:rPr>
          <w:rFonts w:ascii="Arial" w:hAnsi="Arial" w:cs="Arial"/>
          <w:sz w:val="24"/>
          <w:szCs w:val="24"/>
        </w:rPr>
        <w:t xml:space="preserve">. des MI. der </w:t>
      </w:r>
      <w:proofErr w:type="spellStart"/>
      <w:r w:rsidRPr="002B491F">
        <w:rPr>
          <w:rFonts w:ascii="Arial" w:hAnsi="Arial" w:cs="Arial"/>
          <w:sz w:val="24"/>
          <w:szCs w:val="24"/>
        </w:rPr>
        <w:t>StK</w:t>
      </w:r>
      <w:proofErr w:type="spellEnd"/>
      <w:r w:rsidRPr="002B491F">
        <w:rPr>
          <w:rFonts w:ascii="Arial" w:hAnsi="Arial" w:cs="Arial"/>
          <w:sz w:val="24"/>
          <w:szCs w:val="24"/>
        </w:rPr>
        <w:t xml:space="preserve"> und der</w:t>
      </w:r>
      <w:r>
        <w:rPr>
          <w:rFonts w:ascii="Arial" w:hAnsi="Arial" w:cs="Arial"/>
          <w:sz w:val="24"/>
          <w:szCs w:val="24"/>
        </w:rPr>
        <w:t xml:space="preserve"> übrigen Min. vom 18.11.2016</w:t>
      </w:r>
      <w:r w:rsidRPr="002B491F">
        <w:rPr>
          <w:rFonts w:ascii="Arial" w:hAnsi="Arial" w:cs="Arial"/>
          <w:sz w:val="24"/>
          <w:szCs w:val="24"/>
        </w:rPr>
        <w:t xml:space="preserve">) </w:t>
      </w:r>
      <w:r>
        <w:rPr>
          <w:rFonts w:ascii="Arial" w:hAnsi="Arial" w:cs="Arial"/>
          <w:sz w:val="24"/>
          <w:szCs w:val="24"/>
        </w:rPr>
        <w:t xml:space="preserve"> </w:t>
      </w:r>
      <w:r w:rsidRPr="002B491F">
        <w:rPr>
          <w:rFonts w:ascii="Arial" w:hAnsi="Arial" w:cs="Arial"/>
          <w:b/>
          <w:sz w:val="24"/>
          <w:szCs w:val="24"/>
          <w:u w:val="single"/>
        </w:rPr>
        <w:t>Anlage 1</w:t>
      </w:r>
    </w:p>
    <w:p w:rsidR="0015167B" w:rsidRPr="002B491F" w:rsidRDefault="0015167B" w:rsidP="0015167B">
      <w:pPr>
        <w:tabs>
          <w:tab w:val="left" w:pos="851"/>
        </w:tabs>
        <w:rPr>
          <w:rFonts w:ascii="Arial" w:hAnsi="Arial" w:cs="Arial"/>
          <w:b/>
          <w:sz w:val="24"/>
          <w:szCs w:val="24"/>
          <w:u w:val="single"/>
        </w:rPr>
      </w:pPr>
    </w:p>
    <w:p w:rsidR="0015167B" w:rsidRPr="002B491F" w:rsidRDefault="0015167B" w:rsidP="0015167B">
      <w:pPr>
        <w:tabs>
          <w:tab w:val="left" w:pos="851"/>
        </w:tabs>
        <w:rPr>
          <w:rFonts w:ascii="Arial" w:hAnsi="Arial" w:cs="Arial"/>
          <w:sz w:val="24"/>
          <w:szCs w:val="24"/>
        </w:rPr>
      </w:pPr>
      <w:r w:rsidRPr="002B491F">
        <w:rPr>
          <w:rFonts w:ascii="Arial" w:hAnsi="Arial" w:cs="Arial"/>
          <w:sz w:val="24"/>
          <w:szCs w:val="24"/>
        </w:rPr>
        <w:t xml:space="preserve">Verbot der Annahme von Belohnungen, Geschenken und sonstigen Vorteilen </w:t>
      </w:r>
    </w:p>
    <w:p w:rsidR="0015167B" w:rsidRPr="002B491F" w:rsidRDefault="0015167B" w:rsidP="0015167B">
      <w:pPr>
        <w:tabs>
          <w:tab w:val="left" w:pos="851"/>
        </w:tabs>
        <w:rPr>
          <w:rFonts w:ascii="Arial" w:hAnsi="Arial" w:cs="Arial"/>
          <w:b/>
          <w:sz w:val="24"/>
          <w:szCs w:val="24"/>
          <w:u w:val="single"/>
        </w:rPr>
      </w:pPr>
      <w:r w:rsidRPr="002B491F">
        <w:rPr>
          <w:rFonts w:ascii="Arial" w:hAnsi="Arial" w:cs="Arial"/>
          <w:sz w:val="24"/>
          <w:szCs w:val="24"/>
        </w:rPr>
        <w:t xml:space="preserve">(gem. </w:t>
      </w:r>
      <w:proofErr w:type="spellStart"/>
      <w:r w:rsidRPr="002B491F">
        <w:rPr>
          <w:rFonts w:ascii="Arial" w:hAnsi="Arial" w:cs="Arial"/>
          <w:sz w:val="24"/>
          <w:szCs w:val="24"/>
        </w:rPr>
        <w:t>RdErl</w:t>
      </w:r>
      <w:proofErr w:type="spellEnd"/>
      <w:r w:rsidRPr="002B491F">
        <w:rPr>
          <w:rFonts w:ascii="Arial" w:hAnsi="Arial" w:cs="Arial"/>
          <w:sz w:val="24"/>
          <w:szCs w:val="24"/>
        </w:rPr>
        <w:t xml:space="preserve">. des MI, der </w:t>
      </w:r>
      <w:proofErr w:type="spellStart"/>
      <w:r w:rsidRPr="002B491F">
        <w:rPr>
          <w:rFonts w:ascii="Arial" w:hAnsi="Arial" w:cs="Arial"/>
          <w:sz w:val="24"/>
          <w:szCs w:val="24"/>
        </w:rPr>
        <w:t>StK</w:t>
      </w:r>
      <w:proofErr w:type="spellEnd"/>
      <w:r w:rsidRPr="002B491F">
        <w:rPr>
          <w:rFonts w:ascii="Arial" w:hAnsi="Arial" w:cs="Arial"/>
          <w:sz w:val="24"/>
          <w:szCs w:val="24"/>
        </w:rPr>
        <w:t xml:space="preserve"> und der übrigen Min. vom 22.02.2010) </w:t>
      </w:r>
      <w:r>
        <w:rPr>
          <w:rFonts w:ascii="Arial" w:hAnsi="Arial" w:cs="Arial"/>
          <w:sz w:val="24"/>
          <w:szCs w:val="24"/>
        </w:rPr>
        <w:t xml:space="preserve"> </w:t>
      </w:r>
      <w:r w:rsidRPr="002B491F">
        <w:rPr>
          <w:rFonts w:ascii="Arial" w:hAnsi="Arial" w:cs="Arial"/>
          <w:b/>
          <w:sz w:val="24"/>
          <w:szCs w:val="24"/>
          <w:u w:val="single"/>
        </w:rPr>
        <w:t>Anlage 2</w:t>
      </w:r>
    </w:p>
    <w:p w:rsidR="0015167B" w:rsidRPr="002B491F" w:rsidRDefault="0015167B" w:rsidP="0015167B">
      <w:pPr>
        <w:tabs>
          <w:tab w:val="left" w:pos="851"/>
        </w:tabs>
        <w:rPr>
          <w:rFonts w:ascii="Arial" w:hAnsi="Arial" w:cs="Arial"/>
          <w:b/>
          <w:sz w:val="24"/>
          <w:szCs w:val="24"/>
          <w:u w:val="single"/>
        </w:rPr>
      </w:pPr>
    </w:p>
    <w:p w:rsidR="0015167B" w:rsidRPr="002B491F" w:rsidRDefault="0015167B" w:rsidP="0015167B">
      <w:pPr>
        <w:tabs>
          <w:tab w:val="left" w:pos="851"/>
        </w:tabs>
        <w:rPr>
          <w:rFonts w:ascii="Arial" w:hAnsi="Arial" w:cs="Arial"/>
          <w:sz w:val="24"/>
          <w:szCs w:val="24"/>
        </w:rPr>
      </w:pPr>
      <w:r w:rsidRPr="002B491F">
        <w:rPr>
          <w:rFonts w:ascii="Arial" w:hAnsi="Arial" w:cs="Arial"/>
          <w:sz w:val="24"/>
          <w:szCs w:val="24"/>
        </w:rPr>
        <w:t xml:space="preserve">Umgang mit Sponsoring, Werbung, Spenden und mäzenatischen </w:t>
      </w:r>
    </w:p>
    <w:p w:rsidR="0015167B" w:rsidRPr="002B491F" w:rsidRDefault="0015167B" w:rsidP="0015167B">
      <w:pPr>
        <w:tabs>
          <w:tab w:val="left" w:pos="851"/>
        </w:tabs>
        <w:rPr>
          <w:rFonts w:ascii="Arial" w:hAnsi="Arial" w:cs="Arial"/>
          <w:sz w:val="24"/>
          <w:szCs w:val="24"/>
        </w:rPr>
      </w:pPr>
      <w:r w:rsidRPr="002B491F">
        <w:rPr>
          <w:rFonts w:ascii="Arial" w:hAnsi="Arial" w:cs="Arial"/>
          <w:sz w:val="24"/>
          <w:szCs w:val="24"/>
        </w:rPr>
        <w:t xml:space="preserve">Schenkungen in der Landesverwaltung (gem. </w:t>
      </w:r>
      <w:proofErr w:type="spellStart"/>
      <w:r w:rsidRPr="002B491F">
        <w:rPr>
          <w:rFonts w:ascii="Arial" w:hAnsi="Arial" w:cs="Arial"/>
          <w:sz w:val="24"/>
          <w:szCs w:val="24"/>
        </w:rPr>
        <w:t>RdErl</w:t>
      </w:r>
      <w:proofErr w:type="spellEnd"/>
      <w:r w:rsidRPr="002B491F">
        <w:rPr>
          <w:rFonts w:ascii="Arial" w:hAnsi="Arial" w:cs="Arial"/>
          <w:sz w:val="24"/>
          <w:szCs w:val="24"/>
        </w:rPr>
        <w:t xml:space="preserve">. des MI, der </w:t>
      </w:r>
      <w:proofErr w:type="spellStart"/>
      <w:r w:rsidRPr="002B491F">
        <w:rPr>
          <w:rFonts w:ascii="Arial" w:hAnsi="Arial" w:cs="Arial"/>
          <w:sz w:val="24"/>
          <w:szCs w:val="24"/>
        </w:rPr>
        <w:t>StK</w:t>
      </w:r>
      <w:proofErr w:type="spellEnd"/>
    </w:p>
    <w:p w:rsidR="0015167B" w:rsidRPr="002B491F" w:rsidRDefault="0015167B" w:rsidP="0015167B">
      <w:pPr>
        <w:tabs>
          <w:tab w:val="left" w:pos="851"/>
        </w:tabs>
        <w:rPr>
          <w:rFonts w:ascii="Arial" w:hAnsi="Arial" w:cs="Arial"/>
          <w:b/>
          <w:sz w:val="24"/>
          <w:szCs w:val="24"/>
        </w:rPr>
      </w:pPr>
      <w:r w:rsidRPr="002B491F">
        <w:rPr>
          <w:rFonts w:ascii="Arial" w:hAnsi="Arial" w:cs="Arial"/>
          <w:sz w:val="24"/>
          <w:szCs w:val="24"/>
        </w:rPr>
        <w:t>und der übrigen Min. vom 05.03.2012)</w:t>
      </w:r>
      <w:r w:rsidRPr="002B491F">
        <w:rPr>
          <w:rFonts w:ascii="Arial" w:hAnsi="Arial" w:cs="Arial"/>
          <w:sz w:val="24"/>
          <w:szCs w:val="24"/>
        </w:rPr>
        <w:tab/>
      </w:r>
      <w:r w:rsidRPr="002B491F">
        <w:rPr>
          <w:rFonts w:ascii="Arial" w:hAnsi="Arial" w:cs="Arial"/>
          <w:sz w:val="24"/>
          <w:szCs w:val="24"/>
        </w:rPr>
        <w:tab/>
      </w:r>
      <w:r w:rsidRPr="002B491F">
        <w:rPr>
          <w:rFonts w:ascii="Arial" w:hAnsi="Arial" w:cs="Arial"/>
          <w:sz w:val="24"/>
          <w:szCs w:val="24"/>
        </w:rPr>
        <w:tab/>
      </w:r>
      <w:r w:rsidRPr="002B491F">
        <w:rPr>
          <w:rFonts w:ascii="Arial" w:hAnsi="Arial" w:cs="Arial"/>
          <w:sz w:val="24"/>
          <w:szCs w:val="24"/>
        </w:rPr>
        <w:tab/>
      </w:r>
      <w:r w:rsidRPr="002B491F">
        <w:rPr>
          <w:rFonts w:ascii="Arial" w:hAnsi="Arial" w:cs="Arial"/>
          <w:sz w:val="24"/>
          <w:szCs w:val="24"/>
        </w:rPr>
        <w:tab/>
      </w:r>
      <w:r>
        <w:rPr>
          <w:rFonts w:ascii="Arial" w:hAnsi="Arial" w:cs="Arial"/>
          <w:sz w:val="24"/>
          <w:szCs w:val="24"/>
        </w:rPr>
        <w:t xml:space="preserve">    </w:t>
      </w:r>
      <w:r w:rsidRPr="002B491F">
        <w:rPr>
          <w:rFonts w:ascii="Arial" w:hAnsi="Arial" w:cs="Arial"/>
          <w:b/>
          <w:sz w:val="24"/>
          <w:szCs w:val="24"/>
          <w:u w:val="single"/>
        </w:rPr>
        <w:t>Anlage 3</w:t>
      </w:r>
    </w:p>
    <w:p w:rsidR="0015167B" w:rsidRPr="002B491F" w:rsidRDefault="0015167B" w:rsidP="0015167B">
      <w:pPr>
        <w:tabs>
          <w:tab w:val="left" w:pos="851"/>
        </w:tabs>
        <w:rPr>
          <w:rFonts w:ascii="Arial" w:hAnsi="Arial" w:cs="Arial"/>
          <w:b/>
          <w:sz w:val="24"/>
          <w:szCs w:val="24"/>
        </w:rPr>
      </w:pPr>
    </w:p>
    <w:p w:rsidR="0015167B" w:rsidRPr="002B491F" w:rsidRDefault="0015167B" w:rsidP="0015167B">
      <w:pPr>
        <w:rPr>
          <w:rFonts w:ascii="Arial" w:hAnsi="Arial" w:cs="Arial"/>
          <w:sz w:val="24"/>
          <w:szCs w:val="24"/>
        </w:rPr>
      </w:pPr>
    </w:p>
    <w:p w:rsidR="0015167B" w:rsidRPr="002B491F" w:rsidRDefault="0015167B" w:rsidP="0015167B">
      <w:pPr>
        <w:rPr>
          <w:rFonts w:ascii="Arial" w:hAnsi="Arial" w:cs="Arial"/>
          <w:sz w:val="24"/>
          <w:szCs w:val="24"/>
        </w:rPr>
      </w:pPr>
    </w:p>
    <w:p w:rsidR="0015167B" w:rsidRPr="002B491F" w:rsidRDefault="0015167B" w:rsidP="0015167B">
      <w:pPr>
        <w:jc w:val="both"/>
        <w:rPr>
          <w:rFonts w:ascii="Arial" w:hAnsi="Arial" w:cs="Arial"/>
          <w:sz w:val="24"/>
          <w:szCs w:val="24"/>
        </w:rPr>
      </w:pPr>
      <w:r w:rsidRPr="002B491F">
        <w:rPr>
          <w:rFonts w:ascii="Arial" w:hAnsi="Arial" w:cs="Arial"/>
          <w:sz w:val="24"/>
          <w:szCs w:val="24"/>
        </w:rPr>
        <w:t xml:space="preserve">Sehr geehrte Damen und Herren, </w:t>
      </w:r>
    </w:p>
    <w:p w:rsidR="0015167B" w:rsidRPr="002B491F" w:rsidRDefault="0015167B" w:rsidP="0015167B">
      <w:pPr>
        <w:tabs>
          <w:tab w:val="left" w:pos="851"/>
        </w:tabs>
        <w:jc w:val="both"/>
        <w:rPr>
          <w:rFonts w:ascii="Arial" w:hAnsi="Arial" w:cs="Arial"/>
          <w:b/>
          <w:sz w:val="24"/>
          <w:szCs w:val="24"/>
        </w:rPr>
      </w:pPr>
    </w:p>
    <w:p w:rsidR="0015167B" w:rsidRPr="002B491F" w:rsidRDefault="0015167B" w:rsidP="0015167B">
      <w:pPr>
        <w:jc w:val="both"/>
        <w:rPr>
          <w:rFonts w:ascii="Arial" w:hAnsi="Arial" w:cs="Arial"/>
          <w:sz w:val="24"/>
          <w:szCs w:val="24"/>
        </w:rPr>
      </w:pPr>
      <w:r w:rsidRPr="002B491F">
        <w:rPr>
          <w:rFonts w:ascii="Arial" w:hAnsi="Arial" w:cs="Arial"/>
          <w:sz w:val="24"/>
          <w:szCs w:val="24"/>
        </w:rPr>
        <w:t>die Bediensteten/Beschäftigten sind auf Korruptionsgefährdungen durch regelmäßige Belehrungen aufmerksam zu machen und auf die Folgen hinzuweisen.  Korruption ist der Missbrauch eines öffentlichen Amtes, einer Funktion in der Wirtschaft oder eines politischen Mandates zugunsten eines anderen, begangen auf dessen Veranlassung oder aus eigener Initiative  zur Erlangung eines Vorteils für sich oder einen Dritten. Die Belehrung richtet sich an alle Bedienstete des Landes Sachsen-Anhalt, unabhängig von der Art ihres Beschäftigungsverhältnisses in allen Einrichtungen, die Aufgaben der öffentlichen Verwaltung wahrnehmen</w:t>
      </w:r>
      <w:r>
        <w:rPr>
          <w:rFonts w:ascii="Arial" w:hAnsi="Arial" w:cs="Arial"/>
          <w:sz w:val="24"/>
          <w:szCs w:val="24"/>
        </w:rPr>
        <w:t>.</w:t>
      </w:r>
    </w:p>
    <w:p w:rsidR="0015167B" w:rsidRDefault="0015167B" w:rsidP="0015167B">
      <w:pPr>
        <w:tabs>
          <w:tab w:val="left" w:pos="851"/>
        </w:tabs>
        <w:jc w:val="both"/>
        <w:rPr>
          <w:sz w:val="24"/>
          <w:szCs w:val="24"/>
        </w:rPr>
      </w:pPr>
    </w:p>
    <w:p w:rsidR="0015167B" w:rsidRPr="00A2599B" w:rsidRDefault="0015167B" w:rsidP="0015167B">
      <w:pPr>
        <w:tabs>
          <w:tab w:val="left" w:pos="851"/>
        </w:tabs>
        <w:jc w:val="both"/>
        <w:rPr>
          <w:rFonts w:ascii="Arial" w:hAnsi="Arial" w:cs="Arial"/>
          <w:sz w:val="24"/>
          <w:szCs w:val="24"/>
        </w:rPr>
      </w:pPr>
      <w:r w:rsidRPr="00A2599B">
        <w:rPr>
          <w:rFonts w:ascii="Arial" w:hAnsi="Arial" w:cs="Arial"/>
          <w:sz w:val="24"/>
          <w:szCs w:val="24"/>
        </w:rPr>
        <w:t>Der Erlass enthält Begriffsbestimmungen und benennt personelle und organisatorische Maßnahmen usw.</w:t>
      </w:r>
      <w:r w:rsidR="00A96306" w:rsidRPr="00A2599B">
        <w:rPr>
          <w:rFonts w:ascii="Arial" w:hAnsi="Arial" w:cs="Arial"/>
          <w:sz w:val="24"/>
          <w:szCs w:val="24"/>
        </w:rPr>
        <w:t>,</w:t>
      </w:r>
      <w:r w:rsidR="002C4ACF">
        <w:rPr>
          <w:rFonts w:ascii="Arial" w:hAnsi="Arial" w:cs="Arial"/>
          <w:sz w:val="24"/>
          <w:szCs w:val="24"/>
        </w:rPr>
        <w:t xml:space="preserve"> die überwiegend im </w:t>
      </w:r>
      <w:bookmarkStart w:id="0" w:name="_GoBack"/>
      <w:bookmarkEnd w:id="0"/>
      <w:r w:rsidRPr="00A2599B">
        <w:rPr>
          <w:rFonts w:ascii="Arial" w:hAnsi="Arial" w:cs="Arial"/>
          <w:sz w:val="24"/>
          <w:szCs w:val="24"/>
        </w:rPr>
        <w:t xml:space="preserve"> außer Kraft getretenen Erlass </w:t>
      </w:r>
      <w:r w:rsidR="00A96306" w:rsidRPr="00A2599B">
        <w:rPr>
          <w:rFonts w:ascii="Arial" w:hAnsi="Arial" w:cs="Arial"/>
          <w:sz w:val="24"/>
          <w:szCs w:val="24"/>
        </w:rPr>
        <w:t xml:space="preserve">vom 30.06.2010 </w:t>
      </w:r>
      <w:r w:rsidRPr="00A2599B">
        <w:rPr>
          <w:rFonts w:ascii="Arial" w:hAnsi="Arial" w:cs="Arial"/>
          <w:sz w:val="24"/>
          <w:szCs w:val="24"/>
        </w:rPr>
        <w:t>zum gleichen Thema enthalten waren. Dieser Erlass wurde Ihnen wiederholt letztmalig mit Schreiben vom 09.01.2017 übermittelt. Wie schon im Schreiben vom 03.02.2017 ausgeführt</w:t>
      </w:r>
      <w:r w:rsidR="00A96306" w:rsidRPr="00A2599B">
        <w:rPr>
          <w:rFonts w:ascii="Arial" w:hAnsi="Arial" w:cs="Arial"/>
          <w:sz w:val="24"/>
          <w:szCs w:val="24"/>
        </w:rPr>
        <w:t>,</w:t>
      </w:r>
      <w:r w:rsidRPr="00A2599B">
        <w:rPr>
          <w:rFonts w:ascii="Arial" w:hAnsi="Arial" w:cs="Arial"/>
          <w:sz w:val="24"/>
          <w:szCs w:val="24"/>
        </w:rPr>
        <w:t xml:space="preserve"> könnte der aufgehobene Erlass auf Grund seiner Gleichgerichtetheit und seines ausführlicheren Inhaltes weiterhin ergänzende Informationen bei der Betrachtung von Vorgängen geben. </w:t>
      </w:r>
    </w:p>
    <w:p w:rsidR="0015167B" w:rsidRDefault="0015167B" w:rsidP="0015167B">
      <w:pPr>
        <w:tabs>
          <w:tab w:val="left" w:pos="851"/>
        </w:tabs>
        <w:jc w:val="both"/>
        <w:rPr>
          <w:rFonts w:ascii="Arial" w:hAnsi="Arial" w:cs="Arial"/>
          <w:sz w:val="24"/>
          <w:szCs w:val="24"/>
        </w:rPr>
      </w:pPr>
    </w:p>
    <w:p w:rsidR="0015167B" w:rsidRDefault="0015167B" w:rsidP="0015167B">
      <w:pPr>
        <w:jc w:val="both"/>
        <w:rPr>
          <w:rFonts w:ascii="Arial" w:hAnsi="Arial" w:cs="Arial"/>
          <w:sz w:val="24"/>
          <w:szCs w:val="24"/>
          <w:u w:val="single"/>
        </w:rPr>
      </w:pPr>
      <w:r>
        <w:rPr>
          <w:rFonts w:ascii="Arial" w:hAnsi="Arial" w:cs="Arial"/>
          <w:sz w:val="24"/>
          <w:szCs w:val="24"/>
          <w:u w:val="single"/>
        </w:rPr>
        <w:t>Nebentätigkeiten:</w:t>
      </w:r>
      <w:r w:rsidR="008E39D0">
        <w:rPr>
          <w:rFonts w:ascii="Arial" w:hAnsi="Arial" w:cs="Arial"/>
          <w:sz w:val="24"/>
          <w:szCs w:val="24"/>
          <w:u w:val="single"/>
        </w:rPr>
        <w:t xml:space="preserve"> </w:t>
      </w:r>
      <w:r w:rsidR="00307E34">
        <w:rPr>
          <w:rFonts w:ascii="Arial" w:hAnsi="Arial" w:cs="Arial"/>
          <w:sz w:val="24"/>
          <w:szCs w:val="24"/>
          <w:u w:val="single"/>
        </w:rPr>
        <w:t xml:space="preserve"> </w:t>
      </w:r>
      <w:r w:rsidR="000D5493">
        <w:rPr>
          <w:rFonts w:ascii="Arial" w:hAnsi="Arial" w:cs="Arial"/>
          <w:sz w:val="24"/>
          <w:szCs w:val="24"/>
          <w:u w:val="single"/>
        </w:rPr>
        <w:t xml:space="preserve"> </w:t>
      </w:r>
      <w:r w:rsidR="00AF2DAF">
        <w:rPr>
          <w:rFonts w:ascii="Arial" w:hAnsi="Arial" w:cs="Arial"/>
          <w:sz w:val="24"/>
          <w:szCs w:val="24"/>
          <w:u w:val="single"/>
        </w:rPr>
        <w:t xml:space="preserve"> </w:t>
      </w:r>
      <w:r w:rsidR="0077419C">
        <w:rPr>
          <w:rFonts w:ascii="Arial" w:hAnsi="Arial" w:cs="Arial"/>
          <w:sz w:val="24"/>
          <w:szCs w:val="24"/>
          <w:u w:val="single"/>
        </w:rPr>
        <w:t xml:space="preserve"> </w:t>
      </w:r>
      <w:r w:rsidR="006044CC">
        <w:rPr>
          <w:rFonts w:ascii="Arial" w:hAnsi="Arial" w:cs="Arial"/>
          <w:sz w:val="24"/>
          <w:szCs w:val="24"/>
          <w:u w:val="single"/>
        </w:rPr>
        <w:t xml:space="preserve"> </w:t>
      </w:r>
    </w:p>
    <w:p w:rsidR="0015167B" w:rsidRDefault="0015167B" w:rsidP="0015167B">
      <w:pPr>
        <w:jc w:val="both"/>
        <w:rPr>
          <w:rFonts w:ascii="Arial" w:hAnsi="Arial" w:cs="Arial"/>
          <w:sz w:val="24"/>
          <w:szCs w:val="24"/>
        </w:rPr>
      </w:pPr>
      <w:r>
        <w:rPr>
          <w:rFonts w:ascii="Arial" w:hAnsi="Arial" w:cs="Arial"/>
          <w:sz w:val="24"/>
          <w:szCs w:val="24"/>
        </w:rPr>
        <w:lastRenderedPageBreak/>
        <w:t xml:space="preserve">Bei der Erteilung oder der Untersagung von Nebentätigkeiten sind die beamten- oder tariflichen Bestimmungen zu verwenden. Es muss jeglicher Anschein vermieden werden, dass durch die Nebentätigkeit dienstliche und private Interessen verquickt werden. </w:t>
      </w:r>
    </w:p>
    <w:p w:rsidR="0015167B" w:rsidRDefault="0015167B" w:rsidP="0015167B">
      <w:pPr>
        <w:jc w:val="both"/>
        <w:rPr>
          <w:rFonts w:ascii="Arial" w:hAnsi="Arial" w:cs="Arial"/>
          <w:sz w:val="24"/>
          <w:szCs w:val="24"/>
        </w:rPr>
      </w:pPr>
    </w:p>
    <w:p w:rsidR="0015167B" w:rsidRDefault="0015167B" w:rsidP="0015167B">
      <w:pPr>
        <w:jc w:val="both"/>
        <w:rPr>
          <w:rFonts w:ascii="Arial" w:hAnsi="Arial" w:cs="Arial"/>
          <w:sz w:val="24"/>
          <w:szCs w:val="24"/>
          <w:u w:val="single"/>
        </w:rPr>
      </w:pPr>
      <w:r>
        <w:rPr>
          <w:rFonts w:ascii="Arial" w:hAnsi="Arial" w:cs="Arial"/>
          <w:sz w:val="24"/>
          <w:szCs w:val="24"/>
          <w:u w:val="single"/>
        </w:rPr>
        <w:t>Verbot der Annahme von Belohnungen und Geschenken:</w:t>
      </w:r>
    </w:p>
    <w:p w:rsidR="0015167B" w:rsidRPr="005330FE" w:rsidRDefault="0015167B" w:rsidP="0015167B">
      <w:pPr>
        <w:jc w:val="both"/>
        <w:rPr>
          <w:rFonts w:ascii="Arial" w:hAnsi="Arial" w:cs="Arial"/>
          <w:sz w:val="24"/>
          <w:szCs w:val="24"/>
        </w:rPr>
      </w:pPr>
      <w:r>
        <w:rPr>
          <w:rFonts w:ascii="Arial" w:hAnsi="Arial" w:cs="Arial"/>
          <w:sz w:val="24"/>
          <w:szCs w:val="24"/>
        </w:rPr>
        <w:t xml:space="preserve">Im gemeinsamen Runderlass des MI, der Staatskanzlei und der übrigen Ministerien vom 22.02.2010 (Anlage) wird u.a. definiert, dass Belohnungen, Geschenke und sonstige Vorteile, alle Zuwendungen von einem Dritten sind, auf die der Bedienstete keinen Rechtsanspruch hat und der ihn materiell oder immateriell in seiner wirtschaftlichen, rechtlichen oder persönlichen Lage besser stellen. Neben der Zuwendung von Bargeld und Sachwerten können dafür auch andere Leistungen in Betracht kommen. </w:t>
      </w:r>
      <w:r w:rsidRPr="001429CB">
        <w:rPr>
          <w:rFonts w:ascii="Arial" w:hAnsi="Arial" w:cs="Arial"/>
          <w:sz w:val="24"/>
          <w:szCs w:val="24"/>
        </w:rPr>
        <w:t xml:space="preserve">Beachten </w:t>
      </w:r>
      <w:r>
        <w:rPr>
          <w:rFonts w:ascii="Arial" w:hAnsi="Arial" w:cs="Arial"/>
          <w:sz w:val="24"/>
          <w:szCs w:val="24"/>
        </w:rPr>
        <w:t xml:space="preserve">Sie die Richtlinie zum </w:t>
      </w:r>
      <w:r w:rsidRPr="005330FE">
        <w:rPr>
          <w:rFonts w:ascii="Arial" w:hAnsi="Arial" w:cs="Arial"/>
          <w:sz w:val="24"/>
          <w:szCs w:val="24"/>
        </w:rPr>
        <w:t>Verbot der Annahme von Belohnungen, Geschenken und sonstigen Vorteilen.</w:t>
      </w:r>
    </w:p>
    <w:p w:rsidR="0015167B" w:rsidRDefault="0015167B" w:rsidP="0015167B">
      <w:pPr>
        <w:jc w:val="both"/>
        <w:rPr>
          <w:rFonts w:ascii="Arial" w:hAnsi="Arial" w:cs="Arial"/>
          <w:sz w:val="24"/>
          <w:szCs w:val="24"/>
        </w:rPr>
      </w:pPr>
    </w:p>
    <w:p w:rsidR="0015167B" w:rsidRDefault="0015167B" w:rsidP="0015167B">
      <w:pPr>
        <w:jc w:val="both"/>
        <w:rPr>
          <w:rFonts w:ascii="Arial" w:hAnsi="Arial" w:cs="Arial"/>
          <w:sz w:val="24"/>
          <w:szCs w:val="24"/>
        </w:rPr>
      </w:pPr>
      <w:r>
        <w:rPr>
          <w:rFonts w:ascii="Arial" w:hAnsi="Arial" w:cs="Arial"/>
          <w:sz w:val="24"/>
          <w:szCs w:val="24"/>
        </w:rPr>
        <w:t xml:space="preserve">Für Bedienstete besteht ein generelles Annahmeverbot aller </w:t>
      </w:r>
      <w:r w:rsidRPr="005330FE">
        <w:rPr>
          <w:rFonts w:ascii="Arial" w:hAnsi="Arial" w:cs="Arial"/>
          <w:sz w:val="24"/>
          <w:szCs w:val="24"/>
        </w:rPr>
        <w:t>Zuwendungen</w:t>
      </w:r>
      <w:r w:rsidRPr="003B18A3">
        <w:rPr>
          <w:rFonts w:ascii="Arial" w:hAnsi="Arial" w:cs="Arial"/>
          <w:color w:val="0070C0"/>
          <w:sz w:val="24"/>
          <w:szCs w:val="24"/>
        </w:rPr>
        <w:t xml:space="preserve"> </w:t>
      </w:r>
      <w:r>
        <w:rPr>
          <w:rFonts w:ascii="Arial" w:hAnsi="Arial" w:cs="Arial"/>
          <w:sz w:val="24"/>
          <w:szCs w:val="24"/>
        </w:rPr>
        <w:t xml:space="preserve">von Dritten. Alle Zuwendungen sind grundsätzlich dem Geber zurückzugeben.  </w:t>
      </w:r>
    </w:p>
    <w:p w:rsidR="0015167B" w:rsidRDefault="0015167B" w:rsidP="0015167B">
      <w:pPr>
        <w:jc w:val="both"/>
        <w:rPr>
          <w:rFonts w:ascii="Arial" w:hAnsi="Arial" w:cs="Arial"/>
          <w:sz w:val="24"/>
          <w:szCs w:val="24"/>
        </w:rPr>
      </w:pPr>
    </w:p>
    <w:p w:rsidR="0015167B" w:rsidRDefault="0015167B" w:rsidP="0015167B">
      <w:pPr>
        <w:jc w:val="both"/>
        <w:rPr>
          <w:rFonts w:ascii="Arial" w:hAnsi="Arial" w:cs="Arial"/>
          <w:sz w:val="24"/>
          <w:szCs w:val="24"/>
        </w:rPr>
      </w:pPr>
      <w:r>
        <w:rPr>
          <w:rFonts w:ascii="Arial" w:hAnsi="Arial" w:cs="Arial"/>
          <w:sz w:val="24"/>
          <w:szCs w:val="24"/>
        </w:rPr>
        <w:t xml:space="preserve">Eine Annahme erfordert die vorherige Zustimmung der zuständigen Stelle </w:t>
      </w:r>
      <w:r w:rsidRPr="005330FE">
        <w:rPr>
          <w:rFonts w:ascii="Arial" w:hAnsi="Arial" w:cs="Arial"/>
          <w:sz w:val="24"/>
          <w:szCs w:val="24"/>
        </w:rPr>
        <w:t>((bisher: über Anti-Korruptionsbeauftragten an</w:t>
      </w:r>
      <w:r>
        <w:rPr>
          <w:rFonts w:ascii="Arial" w:hAnsi="Arial" w:cs="Arial"/>
          <w:color w:val="0070C0"/>
          <w:sz w:val="24"/>
          <w:szCs w:val="24"/>
        </w:rPr>
        <w:t xml:space="preserve"> </w:t>
      </w:r>
      <w:r>
        <w:rPr>
          <w:rFonts w:ascii="Arial" w:hAnsi="Arial" w:cs="Arial"/>
          <w:sz w:val="24"/>
          <w:szCs w:val="24"/>
        </w:rPr>
        <w:t xml:space="preserve">Kanzler) und ist schriftlich unter Angabe maßgeblicher Umstände (Art des Vorteils, geschätzter Wert, Anlass der Zuwendung und Empfänger). Sofern eine vorherige Zustimmung nicht möglich ist, ist die Zustimmung unverzüglich nachträglich zu beantragen. </w:t>
      </w:r>
    </w:p>
    <w:p w:rsidR="0015167B" w:rsidRDefault="0015167B" w:rsidP="0015167B">
      <w:pPr>
        <w:jc w:val="both"/>
        <w:rPr>
          <w:rFonts w:ascii="Arial" w:hAnsi="Arial" w:cs="Arial"/>
          <w:sz w:val="24"/>
          <w:szCs w:val="24"/>
        </w:rPr>
      </w:pPr>
    </w:p>
    <w:p w:rsidR="0015167B" w:rsidRDefault="0015167B" w:rsidP="0015167B">
      <w:pPr>
        <w:jc w:val="both"/>
        <w:rPr>
          <w:rFonts w:ascii="Arial" w:hAnsi="Arial" w:cs="Arial"/>
          <w:sz w:val="24"/>
          <w:szCs w:val="24"/>
        </w:rPr>
      </w:pPr>
      <w:r>
        <w:rPr>
          <w:rFonts w:ascii="Arial" w:hAnsi="Arial" w:cs="Arial"/>
          <w:sz w:val="24"/>
          <w:szCs w:val="24"/>
        </w:rPr>
        <w:t xml:space="preserve">Es existierten auch Fälle, in denen das Land generell die Zustimmung zur Annahme ausgesprochen hat. Auf die Einzelheiten unter Ziffer 4.1  </w:t>
      </w:r>
      <w:r w:rsidRPr="005330FE">
        <w:rPr>
          <w:rFonts w:ascii="Arial" w:hAnsi="Arial" w:cs="Arial"/>
          <w:sz w:val="24"/>
          <w:szCs w:val="24"/>
        </w:rPr>
        <w:t xml:space="preserve">der </w:t>
      </w:r>
      <w:r>
        <w:rPr>
          <w:rFonts w:ascii="Arial" w:hAnsi="Arial" w:cs="Arial"/>
          <w:sz w:val="24"/>
          <w:szCs w:val="24"/>
        </w:rPr>
        <w:t>Richtlinie</w:t>
      </w:r>
      <w:r>
        <w:rPr>
          <w:rFonts w:ascii="Arial" w:hAnsi="Arial" w:cs="Arial"/>
          <w:strike/>
          <w:color w:val="0070C0"/>
          <w:sz w:val="24"/>
          <w:szCs w:val="24"/>
        </w:rPr>
        <w:t xml:space="preserve"> </w:t>
      </w:r>
      <w:r w:rsidRPr="005330FE">
        <w:rPr>
          <w:rFonts w:ascii="Arial" w:hAnsi="Arial" w:cs="Arial"/>
          <w:sz w:val="24"/>
          <w:szCs w:val="24"/>
        </w:rPr>
        <w:t>zum Verbot</w:t>
      </w:r>
      <w:r w:rsidRPr="00257A92">
        <w:rPr>
          <w:rFonts w:ascii="Arial" w:hAnsi="Arial" w:cs="Arial"/>
          <w:color w:val="0070C0"/>
          <w:sz w:val="24"/>
          <w:szCs w:val="24"/>
        </w:rPr>
        <w:t xml:space="preserve"> </w:t>
      </w:r>
      <w:r>
        <w:rPr>
          <w:rFonts w:ascii="Arial" w:hAnsi="Arial" w:cs="Arial"/>
          <w:sz w:val="24"/>
          <w:szCs w:val="24"/>
        </w:rPr>
        <w:t xml:space="preserve">der Annahme von Belohnungen, Geschenken und </w:t>
      </w:r>
      <w:r w:rsidRPr="005330FE">
        <w:rPr>
          <w:rFonts w:ascii="Arial" w:hAnsi="Arial" w:cs="Arial"/>
          <w:sz w:val="24"/>
          <w:szCs w:val="24"/>
        </w:rPr>
        <w:t xml:space="preserve">sonstigen Vorteilen </w:t>
      </w:r>
      <w:r>
        <w:rPr>
          <w:rFonts w:ascii="Arial" w:hAnsi="Arial" w:cs="Arial"/>
          <w:sz w:val="24"/>
          <w:szCs w:val="24"/>
        </w:rPr>
        <w:t xml:space="preserve">wird verwiesen. </w:t>
      </w:r>
    </w:p>
    <w:p w:rsidR="0015167B" w:rsidRDefault="0015167B" w:rsidP="0015167B">
      <w:pPr>
        <w:jc w:val="both"/>
        <w:rPr>
          <w:rFonts w:ascii="Arial" w:hAnsi="Arial" w:cs="Arial"/>
          <w:sz w:val="24"/>
          <w:szCs w:val="24"/>
        </w:rPr>
      </w:pPr>
    </w:p>
    <w:p w:rsidR="0015167B" w:rsidRDefault="0015167B" w:rsidP="0015167B">
      <w:pPr>
        <w:tabs>
          <w:tab w:val="left" w:pos="851"/>
        </w:tabs>
        <w:jc w:val="both"/>
        <w:rPr>
          <w:sz w:val="24"/>
          <w:szCs w:val="24"/>
        </w:rPr>
      </w:pPr>
      <w:r>
        <w:rPr>
          <w:rFonts w:ascii="Arial" w:hAnsi="Arial" w:cs="Arial"/>
          <w:sz w:val="24"/>
          <w:szCs w:val="24"/>
        </w:rPr>
        <w:t>Es darf nie der Eindruck entstehen, dass Sie für "kleine Geschenke" offen sind. Scheuen Sie sich nicht, ein Geschenk zurückzuweisen oder es zurückzusenden, gegebenenfalls mit der Bitte um Verständnis für die für Sie geltenden Regeln.</w:t>
      </w:r>
    </w:p>
    <w:p w:rsidR="0015167B" w:rsidRDefault="0015167B" w:rsidP="0015167B">
      <w:pPr>
        <w:tabs>
          <w:tab w:val="left" w:pos="851"/>
        </w:tabs>
        <w:jc w:val="both"/>
        <w:rPr>
          <w:sz w:val="24"/>
          <w:szCs w:val="24"/>
        </w:rPr>
      </w:pPr>
    </w:p>
    <w:p w:rsidR="0015167B" w:rsidRDefault="0015167B" w:rsidP="0015167B">
      <w:pPr>
        <w:jc w:val="both"/>
        <w:rPr>
          <w:rFonts w:ascii="Arial" w:hAnsi="Arial" w:cs="Arial"/>
          <w:sz w:val="24"/>
          <w:szCs w:val="24"/>
        </w:rPr>
      </w:pPr>
      <w:r>
        <w:rPr>
          <w:rFonts w:ascii="Arial" w:hAnsi="Arial" w:cs="Arial"/>
          <w:sz w:val="24"/>
          <w:szCs w:val="24"/>
        </w:rPr>
        <w:t xml:space="preserve">In diesem Zusammenhang ist auch der Erlass zum Umgang mit Sponsoring, Werbung, Spenden und mäzenatischen Schenkungen in der Landesverwaltung (Gemeinsamer Runderlass des MI, der Staatskanzlei und der übrigen Ministerien vom 05.03.2012, Anlage) zu betrachten. Sponsoring trägt in geeigneten Fällen unterstützend dazu bei, Verwaltungsziele zu erreichen. Gleichwohl muss die öffentliche Verwaltung schon jeden Anschein fremder Einflussnahme vermeiden, um die staatliche Integrität und die Neutralität sowie das Ansehen des Landes in der Öffentlichkeit zu wahren. Die öffentliche Verwaltung darf sich daher nur nach Maßgabe eingrenzender Regelungen dem Sponsoring öffnen. Bei der Entscheidung über den Einsatz von Sponsoring sind die Grundsätze nach Ziffer 4 des genannten Erlasses zu beachten, auf die verwiesen wird. Nach Ziffer 4.4 </w:t>
      </w:r>
      <w:proofErr w:type="spellStart"/>
      <w:r>
        <w:rPr>
          <w:rFonts w:ascii="Arial" w:hAnsi="Arial" w:cs="Arial"/>
          <w:sz w:val="24"/>
          <w:szCs w:val="24"/>
        </w:rPr>
        <w:t>bb</w:t>
      </w:r>
      <w:proofErr w:type="spellEnd"/>
      <w:r>
        <w:rPr>
          <w:rFonts w:ascii="Arial" w:hAnsi="Arial" w:cs="Arial"/>
          <w:sz w:val="24"/>
          <w:szCs w:val="24"/>
        </w:rPr>
        <w:t xml:space="preserve">) ist eine Offenlegung der Geld-, Sach- und Dienstleistungen aus Sponsoring in einem zweijährigen Bericht des Ministeriums des Innern vorgesehen. Hierzu erfassen die obersten Landesbehörden unter Verwendung eines Vordrucks, die in Ihrem Geschäftsbereich angenommenen einschlägigen Leistungen mit einem Wert von mehr als 1000,-- €. In dem Bericht können einzelne Sponsoring-leistungen in einem Gegenwert von je bis zu 5000,-- € zusammenfassend dargestellt werden. Es wird vor diesem Hintergrund jedem Bereich empfohlen, </w:t>
      </w:r>
      <w:r>
        <w:rPr>
          <w:rFonts w:ascii="Arial" w:hAnsi="Arial" w:cs="Arial"/>
          <w:sz w:val="24"/>
          <w:szCs w:val="24"/>
        </w:rPr>
        <w:lastRenderedPageBreak/>
        <w:t xml:space="preserve">entsprechende Leistungen so zu erfassen, dass eine möglicherweise erforderliche Zuarbeit für die Berichterstattung sachgerecht ermöglicht wird.  </w:t>
      </w:r>
    </w:p>
    <w:p w:rsidR="0015167B" w:rsidRDefault="0015167B" w:rsidP="0015167B">
      <w:pPr>
        <w:jc w:val="both"/>
        <w:rPr>
          <w:rFonts w:ascii="Arial" w:hAnsi="Arial" w:cs="Arial"/>
          <w:sz w:val="24"/>
          <w:szCs w:val="24"/>
        </w:rPr>
      </w:pPr>
    </w:p>
    <w:p w:rsidR="0015167B" w:rsidRDefault="0015167B" w:rsidP="0015167B">
      <w:pPr>
        <w:jc w:val="both"/>
        <w:rPr>
          <w:rFonts w:ascii="Arial" w:hAnsi="Arial" w:cs="Arial"/>
          <w:sz w:val="24"/>
          <w:szCs w:val="24"/>
        </w:rPr>
      </w:pPr>
      <w:r>
        <w:rPr>
          <w:rFonts w:ascii="Arial" w:hAnsi="Arial" w:cs="Arial"/>
          <w:sz w:val="24"/>
          <w:szCs w:val="24"/>
        </w:rPr>
        <w:t xml:space="preserve">Der Erlass benennt als Anlage 2 Beispiele für zulässiges Sponsoring, die für die Entscheidungsfindung im Einzelfall hilfreich sind. </w:t>
      </w:r>
    </w:p>
    <w:p w:rsidR="0015167B" w:rsidRDefault="0015167B" w:rsidP="0015167B">
      <w:pPr>
        <w:jc w:val="both"/>
        <w:rPr>
          <w:rFonts w:ascii="Arial" w:hAnsi="Arial" w:cs="Arial"/>
          <w:sz w:val="24"/>
          <w:szCs w:val="24"/>
        </w:rPr>
      </w:pPr>
    </w:p>
    <w:p w:rsidR="0015167B" w:rsidRDefault="0015167B" w:rsidP="0015167B">
      <w:pPr>
        <w:jc w:val="both"/>
        <w:rPr>
          <w:rFonts w:ascii="Arial" w:hAnsi="Arial" w:cs="Arial"/>
          <w:sz w:val="24"/>
          <w:szCs w:val="24"/>
        </w:rPr>
      </w:pPr>
      <w:r>
        <w:rPr>
          <w:rFonts w:ascii="Arial" w:hAnsi="Arial" w:cs="Arial"/>
          <w:sz w:val="24"/>
          <w:szCs w:val="24"/>
        </w:rPr>
        <w:t>Es wird darum gebeten, den Inhalt der in der Anlage beigefügten Erlasse zur Kenntnis zu nehmen und im Einzelfall sachgerecht anzuwenden.</w:t>
      </w:r>
    </w:p>
    <w:p w:rsidR="0015167B" w:rsidRDefault="0015167B" w:rsidP="0015167B">
      <w:pPr>
        <w:jc w:val="both"/>
        <w:rPr>
          <w:rFonts w:ascii="Arial" w:hAnsi="Arial" w:cs="Arial"/>
          <w:sz w:val="24"/>
          <w:szCs w:val="24"/>
        </w:rPr>
      </w:pPr>
    </w:p>
    <w:p w:rsidR="0015167B" w:rsidRDefault="0015167B" w:rsidP="0015167B">
      <w:pPr>
        <w:jc w:val="both"/>
        <w:rPr>
          <w:rFonts w:ascii="Arial" w:hAnsi="Arial" w:cs="Arial"/>
          <w:sz w:val="24"/>
          <w:szCs w:val="24"/>
        </w:rPr>
      </w:pPr>
      <w:r>
        <w:rPr>
          <w:rFonts w:ascii="Arial" w:hAnsi="Arial" w:cs="Arial"/>
          <w:sz w:val="24"/>
          <w:szCs w:val="24"/>
        </w:rPr>
        <w:t xml:space="preserve">Sofern Sie in diesem Jahr noch keine aktenkundige Belehrung Ihrer Mitarbeiter zur Vermeidung und Bekämpfung der Korruption durchgeführt haben, bitte ich um Belehrung bis zum Jahresende. Der Nachweis kann mit dem angebotenen Belehrungsformular erfolgen, kann aber auch anderweitig schriftlich nachgewiesen werden. Wichtig ist, dass wir verpflichtet sind, aktenkundig zu belehren. </w:t>
      </w:r>
    </w:p>
    <w:p w:rsidR="0015167B" w:rsidRDefault="0015167B" w:rsidP="0015167B">
      <w:pPr>
        <w:jc w:val="both"/>
        <w:rPr>
          <w:sz w:val="24"/>
          <w:szCs w:val="24"/>
        </w:rPr>
      </w:pPr>
    </w:p>
    <w:p w:rsidR="0015167B" w:rsidRPr="00CB1473" w:rsidRDefault="0015167B" w:rsidP="0015167B">
      <w:pPr>
        <w:tabs>
          <w:tab w:val="left" w:pos="2550"/>
        </w:tabs>
        <w:jc w:val="both"/>
        <w:rPr>
          <w:rFonts w:ascii="Arial" w:hAnsi="Arial" w:cs="Arial"/>
          <w:sz w:val="24"/>
          <w:szCs w:val="24"/>
        </w:rPr>
      </w:pPr>
    </w:p>
    <w:p w:rsidR="0015167B" w:rsidRPr="00CB1473" w:rsidRDefault="0015167B" w:rsidP="0015167B">
      <w:pPr>
        <w:overflowPunct w:val="0"/>
        <w:autoSpaceDE w:val="0"/>
        <w:autoSpaceDN w:val="0"/>
        <w:adjustRightInd w:val="0"/>
        <w:rPr>
          <w:rFonts w:ascii="Arial" w:hAnsi="Arial" w:cs="Arial"/>
          <w:sz w:val="24"/>
          <w:szCs w:val="24"/>
        </w:rPr>
      </w:pPr>
      <w:r w:rsidRPr="00CB1473">
        <w:rPr>
          <w:rFonts w:ascii="Arial" w:hAnsi="Arial" w:cs="Arial"/>
          <w:sz w:val="24"/>
          <w:szCs w:val="24"/>
        </w:rPr>
        <w:t>Mit freundlichen Grüßen</w:t>
      </w:r>
    </w:p>
    <w:p w:rsidR="0015167B" w:rsidRPr="00CB1473" w:rsidRDefault="0015167B" w:rsidP="0015167B">
      <w:pPr>
        <w:overflowPunct w:val="0"/>
        <w:autoSpaceDE w:val="0"/>
        <w:autoSpaceDN w:val="0"/>
        <w:adjustRightInd w:val="0"/>
        <w:rPr>
          <w:rFonts w:ascii="Arial" w:hAnsi="Arial" w:cs="Arial"/>
          <w:sz w:val="24"/>
          <w:szCs w:val="24"/>
        </w:rPr>
      </w:pPr>
    </w:p>
    <w:p w:rsidR="0015167B" w:rsidRPr="00CB1473" w:rsidRDefault="0015167B" w:rsidP="0015167B">
      <w:pPr>
        <w:overflowPunct w:val="0"/>
        <w:autoSpaceDE w:val="0"/>
        <w:autoSpaceDN w:val="0"/>
        <w:adjustRightInd w:val="0"/>
        <w:rPr>
          <w:rFonts w:ascii="Arial" w:hAnsi="Arial" w:cs="Arial"/>
          <w:sz w:val="24"/>
          <w:szCs w:val="24"/>
        </w:rPr>
      </w:pPr>
    </w:p>
    <w:p w:rsidR="0015167B" w:rsidRPr="00782361" w:rsidRDefault="0015167B" w:rsidP="0015167B">
      <w:pPr>
        <w:overflowPunct w:val="0"/>
        <w:autoSpaceDE w:val="0"/>
        <w:autoSpaceDN w:val="0"/>
        <w:adjustRightInd w:val="0"/>
        <w:rPr>
          <w:rFonts w:ascii="Arial" w:hAnsi="Arial" w:cs="Arial"/>
          <w:sz w:val="24"/>
          <w:szCs w:val="24"/>
        </w:rPr>
      </w:pPr>
    </w:p>
    <w:p w:rsidR="0015167B" w:rsidRPr="00782361" w:rsidRDefault="0015167B" w:rsidP="0015167B">
      <w:pPr>
        <w:overflowPunct w:val="0"/>
        <w:autoSpaceDE w:val="0"/>
        <w:autoSpaceDN w:val="0"/>
        <w:adjustRightInd w:val="0"/>
        <w:rPr>
          <w:rFonts w:ascii="Arial" w:hAnsi="Arial" w:cs="Arial"/>
          <w:sz w:val="24"/>
          <w:szCs w:val="24"/>
        </w:rPr>
      </w:pPr>
      <w:r w:rsidRPr="00782361">
        <w:rPr>
          <w:rFonts w:ascii="Arial" w:hAnsi="Arial" w:cs="Arial"/>
          <w:sz w:val="24"/>
          <w:szCs w:val="24"/>
        </w:rPr>
        <w:t xml:space="preserve">Klaus </w:t>
      </w:r>
      <w:proofErr w:type="spellStart"/>
      <w:r w:rsidRPr="00782361">
        <w:rPr>
          <w:rFonts w:ascii="Arial" w:hAnsi="Arial" w:cs="Arial"/>
          <w:sz w:val="24"/>
          <w:szCs w:val="24"/>
        </w:rPr>
        <w:t>Böde</w:t>
      </w:r>
      <w:proofErr w:type="spellEnd"/>
    </w:p>
    <w:p w:rsidR="0015167B" w:rsidRDefault="0015167B" w:rsidP="0015167B">
      <w:pPr>
        <w:overflowPunct w:val="0"/>
        <w:autoSpaceDE w:val="0"/>
        <w:autoSpaceDN w:val="0"/>
        <w:adjustRightInd w:val="0"/>
        <w:rPr>
          <w:rFonts w:ascii="Arial" w:hAnsi="Arial" w:cs="Arial"/>
          <w:sz w:val="24"/>
          <w:szCs w:val="24"/>
        </w:rPr>
      </w:pPr>
      <w:r>
        <w:rPr>
          <w:rFonts w:ascii="Arial" w:hAnsi="Arial" w:cs="Arial"/>
          <w:sz w:val="24"/>
          <w:szCs w:val="24"/>
        </w:rPr>
        <w:t>Ansprechperson</w:t>
      </w:r>
    </w:p>
    <w:p w:rsidR="0015167B" w:rsidRPr="00782361" w:rsidRDefault="0015167B" w:rsidP="0015167B">
      <w:pPr>
        <w:overflowPunct w:val="0"/>
        <w:autoSpaceDE w:val="0"/>
        <w:autoSpaceDN w:val="0"/>
        <w:adjustRightInd w:val="0"/>
        <w:rPr>
          <w:rFonts w:ascii="Arial" w:hAnsi="Arial" w:cs="Arial"/>
          <w:sz w:val="24"/>
          <w:szCs w:val="24"/>
        </w:rPr>
      </w:pPr>
      <w:r w:rsidRPr="00782361">
        <w:rPr>
          <w:rFonts w:ascii="Arial" w:hAnsi="Arial" w:cs="Arial"/>
          <w:sz w:val="24"/>
          <w:szCs w:val="24"/>
        </w:rPr>
        <w:t>"Kor</w:t>
      </w:r>
      <w:r w:rsidR="00A96306">
        <w:rPr>
          <w:rFonts w:ascii="Arial" w:hAnsi="Arial" w:cs="Arial"/>
          <w:sz w:val="24"/>
          <w:szCs w:val="24"/>
        </w:rPr>
        <w:t>r</w:t>
      </w:r>
      <w:r w:rsidRPr="00782361">
        <w:rPr>
          <w:rFonts w:ascii="Arial" w:hAnsi="Arial" w:cs="Arial"/>
          <w:sz w:val="24"/>
          <w:szCs w:val="24"/>
        </w:rPr>
        <w:t>uption</w:t>
      </w:r>
      <w:r>
        <w:rPr>
          <w:rFonts w:ascii="Arial" w:hAnsi="Arial" w:cs="Arial"/>
          <w:sz w:val="24"/>
          <w:szCs w:val="24"/>
        </w:rPr>
        <w:t>sprävention</w:t>
      </w:r>
      <w:r w:rsidRPr="00782361">
        <w:rPr>
          <w:rFonts w:ascii="Arial" w:hAnsi="Arial" w:cs="Arial"/>
          <w:sz w:val="24"/>
          <w:szCs w:val="24"/>
        </w:rPr>
        <w:t>"</w:t>
      </w:r>
    </w:p>
    <w:p w:rsidR="0015167B" w:rsidRPr="00782361" w:rsidRDefault="0015167B" w:rsidP="0015167B">
      <w:pPr>
        <w:jc w:val="both"/>
        <w:rPr>
          <w:rFonts w:ascii="Arial" w:hAnsi="Arial" w:cs="Arial"/>
          <w:sz w:val="24"/>
          <w:szCs w:val="24"/>
        </w:rPr>
      </w:pPr>
    </w:p>
    <w:p w:rsidR="0015167B" w:rsidRDefault="0015167B" w:rsidP="0015167B">
      <w:pPr>
        <w:jc w:val="both"/>
        <w:rPr>
          <w:rFonts w:ascii="Arial" w:hAnsi="Arial" w:cs="Arial"/>
          <w:sz w:val="24"/>
          <w:szCs w:val="24"/>
          <w:u w:val="single"/>
        </w:rPr>
      </w:pPr>
      <w:r>
        <w:rPr>
          <w:rFonts w:ascii="Arial" w:hAnsi="Arial" w:cs="Arial"/>
          <w:sz w:val="24"/>
          <w:szCs w:val="24"/>
          <w:u w:val="single"/>
        </w:rPr>
        <w:t>Anlagen:</w:t>
      </w:r>
    </w:p>
    <w:p w:rsidR="0015167B" w:rsidRDefault="0015167B" w:rsidP="0015167B">
      <w:pPr>
        <w:pStyle w:val="Listenabsatz"/>
        <w:numPr>
          <w:ilvl w:val="0"/>
          <w:numId w:val="1"/>
        </w:numPr>
        <w:jc w:val="both"/>
        <w:rPr>
          <w:rFonts w:ascii="Arial" w:hAnsi="Arial" w:cs="Arial"/>
          <w:sz w:val="24"/>
          <w:szCs w:val="24"/>
        </w:rPr>
      </w:pPr>
      <w:r>
        <w:rPr>
          <w:rFonts w:ascii="Arial" w:hAnsi="Arial" w:cs="Arial"/>
          <w:sz w:val="24"/>
          <w:szCs w:val="24"/>
        </w:rPr>
        <w:t xml:space="preserve">Verwaltungsvorschrift zur Vermeidung und Bekämpfung der Korruption, gemeinsamer Erlass des MI, der </w:t>
      </w:r>
      <w:proofErr w:type="spellStart"/>
      <w:r>
        <w:rPr>
          <w:rFonts w:ascii="Arial" w:hAnsi="Arial" w:cs="Arial"/>
          <w:sz w:val="24"/>
          <w:szCs w:val="24"/>
        </w:rPr>
        <w:t>StK</w:t>
      </w:r>
      <w:proofErr w:type="spellEnd"/>
      <w:r>
        <w:rPr>
          <w:rFonts w:ascii="Arial" w:hAnsi="Arial" w:cs="Arial"/>
          <w:sz w:val="24"/>
          <w:szCs w:val="24"/>
        </w:rPr>
        <w:t xml:space="preserve"> und der </w:t>
      </w:r>
      <w:proofErr w:type="spellStart"/>
      <w:r>
        <w:rPr>
          <w:rFonts w:ascii="Arial" w:hAnsi="Arial" w:cs="Arial"/>
          <w:sz w:val="24"/>
          <w:szCs w:val="24"/>
        </w:rPr>
        <w:t>übr</w:t>
      </w:r>
      <w:proofErr w:type="spellEnd"/>
      <w:r>
        <w:rPr>
          <w:rFonts w:ascii="Arial" w:hAnsi="Arial" w:cs="Arial"/>
          <w:sz w:val="24"/>
          <w:szCs w:val="24"/>
        </w:rPr>
        <w:t xml:space="preserve">. Min. vom 18.11.2016, </w:t>
      </w:r>
      <w:proofErr w:type="spellStart"/>
      <w:r>
        <w:rPr>
          <w:rFonts w:ascii="Arial" w:hAnsi="Arial" w:cs="Arial"/>
          <w:sz w:val="24"/>
          <w:szCs w:val="24"/>
        </w:rPr>
        <w:t>MBl</w:t>
      </w:r>
      <w:proofErr w:type="spellEnd"/>
      <w:r>
        <w:rPr>
          <w:rFonts w:ascii="Arial" w:hAnsi="Arial" w:cs="Arial"/>
          <w:sz w:val="24"/>
          <w:szCs w:val="24"/>
        </w:rPr>
        <w:t>. LSA 1/2017.</w:t>
      </w:r>
    </w:p>
    <w:p w:rsidR="0015167B" w:rsidRDefault="0015167B" w:rsidP="0015167B">
      <w:pPr>
        <w:pStyle w:val="Listenabsatz"/>
        <w:numPr>
          <w:ilvl w:val="0"/>
          <w:numId w:val="1"/>
        </w:numPr>
        <w:jc w:val="both"/>
        <w:rPr>
          <w:rFonts w:ascii="Arial" w:hAnsi="Arial" w:cs="Arial"/>
          <w:sz w:val="24"/>
          <w:szCs w:val="24"/>
        </w:rPr>
      </w:pPr>
      <w:r>
        <w:rPr>
          <w:rFonts w:ascii="Arial" w:hAnsi="Arial" w:cs="Arial"/>
          <w:sz w:val="24"/>
          <w:szCs w:val="24"/>
        </w:rPr>
        <w:t xml:space="preserve">Verbot der Annahme von Belohnungen, Geschenken und sonstigen Vorteilen, gemeinsamer Erlass des MI, der </w:t>
      </w:r>
      <w:proofErr w:type="spellStart"/>
      <w:r>
        <w:rPr>
          <w:rFonts w:ascii="Arial" w:hAnsi="Arial" w:cs="Arial"/>
          <w:sz w:val="24"/>
          <w:szCs w:val="24"/>
        </w:rPr>
        <w:t>StK</w:t>
      </w:r>
      <w:proofErr w:type="spellEnd"/>
      <w:r>
        <w:rPr>
          <w:rFonts w:ascii="Arial" w:hAnsi="Arial" w:cs="Arial"/>
          <w:sz w:val="24"/>
          <w:szCs w:val="24"/>
        </w:rPr>
        <w:t xml:space="preserve"> und der </w:t>
      </w:r>
      <w:proofErr w:type="spellStart"/>
      <w:r>
        <w:rPr>
          <w:rFonts w:ascii="Arial" w:hAnsi="Arial" w:cs="Arial"/>
          <w:sz w:val="24"/>
          <w:szCs w:val="24"/>
        </w:rPr>
        <w:t>übr</w:t>
      </w:r>
      <w:proofErr w:type="spellEnd"/>
      <w:r>
        <w:rPr>
          <w:rFonts w:ascii="Arial" w:hAnsi="Arial" w:cs="Arial"/>
          <w:sz w:val="24"/>
          <w:szCs w:val="24"/>
        </w:rPr>
        <w:t xml:space="preserve">. Min. vom 22.02.2010, </w:t>
      </w:r>
      <w:proofErr w:type="spellStart"/>
      <w:r>
        <w:rPr>
          <w:rFonts w:ascii="Arial" w:hAnsi="Arial" w:cs="Arial"/>
          <w:sz w:val="24"/>
          <w:szCs w:val="24"/>
        </w:rPr>
        <w:t>MBl</w:t>
      </w:r>
      <w:proofErr w:type="spellEnd"/>
      <w:r>
        <w:rPr>
          <w:rFonts w:ascii="Arial" w:hAnsi="Arial" w:cs="Arial"/>
          <w:sz w:val="24"/>
          <w:szCs w:val="24"/>
        </w:rPr>
        <w:t>. LSA 6/2010 bzw. 8/2010.</w:t>
      </w:r>
    </w:p>
    <w:p w:rsidR="0015167B" w:rsidRDefault="0015167B" w:rsidP="0015167B">
      <w:pPr>
        <w:pStyle w:val="Listenabsatz"/>
        <w:numPr>
          <w:ilvl w:val="0"/>
          <w:numId w:val="1"/>
        </w:numPr>
        <w:jc w:val="both"/>
        <w:rPr>
          <w:rFonts w:ascii="Arial" w:hAnsi="Arial" w:cs="Arial"/>
          <w:sz w:val="24"/>
          <w:szCs w:val="24"/>
        </w:rPr>
      </w:pPr>
      <w:r>
        <w:rPr>
          <w:rFonts w:ascii="Arial" w:hAnsi="Arial" w:cs="Arial"/>
          <w:sz w:val="24"/>
          <w:szCs w:val="24"/>
        </w:rPr>
        <w:t xml:space="preserve">Umgang mit Sponsoring, Werbung, Spenden und mäzenatischen Schenkungen in der Landesverwaltung, gemeinsamer Erlass des MI, der </w:t>
      </w:r>
      <w:proofErr w:type="spellStart"/>
      <w:r>
        <w:rPr>
          <w:rFonts w:ascii="Arial" w:hAnsi="Arial" w:cs="Arial"/>
          <w:sz w:val="24"/>
          <w:szCs w:val="24"/>
        </w:rPr>
        <w:t>StK</w:t>
      </w:r>
      <w:proofErr w:type="spellEnd"/>
      <w:r>
        <w:rPr>
          <w:rFonts w:ascii="Arial" w:hAnsi="Arial" w:cs="Arial"/>
          <w:sz w:val="24"/>
          <w:szCs w:val="24"/>
        </w:rPr>
        <w:t xml:space="preserve"> und der </w:t>
      </w:r>
      <w:proofErr w:type="spellStart"/>
      <w:r>
        <w:rPr>
          <w:rFonts w:ascii="Arial" w:hAnsi="Arial" w:cs="Arial"/>
          <w:sz w:val="24"/>
          <w:szCs w:val="24"/>
        </w:rPr>
        <w:t>übr</w:t>
      </w:r>
      <w:proofErr w:type="spellEnd"/>
      <w:r>
        <w:rPr>
          <w:rFonts w:ascii="Arial" w:hAnsi="Arial" w:cs="Arial"/>
          <w:sz w:val="24"/>
          <w:szCs w:val="24"/>
        </w:rPr>
        <w:t xml:space="preserve">. Min. vom 05.03.2012, </w:t>
      </w:r>
      <w:proofErr w:type="spellStart"/>
      <w:r>
        <w:rPr>
          <w:rFonts w:ascii="Arial" w:hAnsi="Arial" w:cs="Arial"/>
          <w:sz w:val="24"/>
          <w:szCs w:val="24"/>
        </w:rPr>
        <w:t>MBl</w:t>
      </w:r>
      <w:proofErr w:type="spellEnd"/>
      <w:r>
        <w:rPr>
          <w:rFonts w:ascii="Arial" w:hAnsi="Arial" w:cs="Arial"/>
          <w:sz w:val="24"/>
          <w:szCs w:val="24"/>
        </w:rPr>
        <w:t>. 9/2012</w:t>
      </w:r>
    </w:p>
    <w:p w:rsidR="0015167B" w:rsidRPr="002F6D44" w:rsidRDefault="0015167B" w:rsidP="0015167B">
      <w:pPr>
        <w:pStyle w:val="Listenabsatz"/>
        <w:numPr>
          <w:ilvl w:val="0"/>
          <w:numId w:val="1"/>
        </w:numPr>
        <w:jc w:val="both"/>
        <w:rPr>
          <w:rFonts w:ascii="Arial" w:hAnsi="Arial" w:cs="Arial"/>
          <w:sz w:val="24"/>
          <w:szCs w:val="24"/>
        </w:rPr>
      </w:pPr>
      <w:r>
        <w:rPr>
          <w:rFonts w:ascii="Arial" w:hAnsi="Arial" w:cs="Arial"/>
          <w:sz w:val="24"/>
          <w:szCs w:val="24"/>
        </w:rPr>
        <w:t>Formblatt Nachweis Belehrung</w:t>
      </w:r>
    </w:p>
    <w:p w:rsidR="0015167B" w:rsidRDefault="0015167B" w:rsidP="0015167B">
      <w:pPr>
        <w:overflowPunct w:val="0"/>
        <w:autoSpaceDE w:val="0"/>
        <w:autoSpaceDN w:val="0"/>
        <w:adjustRightInd w:val="0"/>
        <w:rPr>
          <w:sz w:val="24"/>
          <w:szCs w:val="24"/>
        </w:rPr>
      </w:pPr>
    </w:p>
    <w:p w:rsidR="00751ABB" w:rsidRDefault="002C4ACF"/>
    <w:sectPr w:rsidR="00751ABB" w:rsidSect="004C2A20">
      <w:footerReference w:type="even" r:id="rId9"/>
      <w:footerReference w:type="default" r:id="rId10"/>
      <w:pgSz w:w="11906" w:h="16838"/>
      <w:pgMar w:top="1417" w:right="1841"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36B" w:rsidRDefault="00B960DD">
      <w:r>
        <w:separator/>
      </w:r>
    </w:p>
  </w:endnote>
  <w:endnote w:type="continuationSeparator" w:id="0">
    <w:p w:rsidR="0091036B" w:rsidRDefault="00B96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91F" w:rsidRDefault="00A473A9" w:rsidP="007922A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2B491F" w:rsidRDefault="002C4ACF" w:rsidP="00BC7499">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91F" w:rsidRDefault="00A473A9" w:rsidP="007922A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2C4ACF">
      <w:rPr>
        <w:rStyle w:val="Seitenzahl"/>
        <w:noProof/>
      </w:rPr>
      <w:t>3</w:t>
    </w:r>
    <w:r>
      <w:rPr>
        <w:rStyle w:val="Seitenzahl"/>
      </w:rPr>
      <w:fldChar w:fldCharType="end"/>
    </w:r>
  </w:p>
  <w:p w:rsidR="002B491F" w:rsidRDefault="002C4ACF" w:rsidP="00BC7499">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36B" w:rsidRDefault="00B960DD">
      <w:r>
        <w:separator/>
      </w:r>
    </w:p>
  </w:footnote>
  <w:footnote w:type="continuationSeparator" w:id="0">
    <w:p w:rsidR="0091036B" w:rsidRDefault="00B960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66EB7"/>
    <w:multiLevelType w:val="hybridMultilevel"/>
    <w:tmpl w:val="53C070D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67B"/>
    <w:rsid w:val="000D5493"/>
    <w:rsid w:val="0015167B"/>
    <w:rsid w:val="002C4ACF"/>
    <w:rsid w:val="00307E34"/>
    <w:rsid w:val="004F618C"/>
    <w:rsid w:val="006044CC"/>
    <w:rsid w:val="0077419C"/>
    <w:rsid w:val="008E39D0"/>
    <w:rsid w:val="0091036B"/>
    <w:rsid w:val="00A2599B"/>
    <w:rsid w:val="00A473A9"/>
    <w:rsid w:val="00A96306"/>
    <w:rsid w:val="00AF2DAF"/>
    <w:rsid w:val="00B960DD"/>
    <w:rsid w:val="00E74AB1"/>
    <w:rsid w:val="00FB0E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5167B"/>
    <w:pPr>
      <w:spacing w:after="0" w:line="240" w:lineRule="auto"/>
    </w:pPr>
    <w:rPr>
      <w:rFonts w:ascii="Times New Roman" w:eastAsia="Times New Roman" w:hAnsi="Times New Roman" w:cs="Times New Roman"/>
      <w:sz w:val="2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15167B"/>
    <w:pPr>
      <w:tabs>
        <w:tab w:val="center" w:pos="4536"/>
        <w:tab w:val="right" w:pos="9072"/>
      </w:tabs>
    </w:pPr>
  </w:style>
  <w:style w:type="character" w:customStyle="1" w:styleId="FuzeileZchn">
    <w:name w:val="Fußzeile Zchn"/>
    <w:basedOn w:val="Absatz-Standardschriftart"/>
    <w:link w:val="Fuzeile"/>
    <w:rsid w:val="0015167B"/>
    <w:rPr>
      <w:rFonts w:ascii="Times New Roman" w:eastAsia="Times New Roman" w:hAnsi="Times New Roman" w:cs="Times New Roman"/>
      <w:sz w:val="26"/>
      <w:szCs w:val="20"/>
      <w:lang w:eastAsia="de-DE"/>
    </w:rPr>
  </w:style>
  <w:style w:type="character" w:styleId="Seitenzahl">
    <w:name w:val="page number"/>
    <w:basedOn w:val="Absatz-Standardschriftart"/>
    <w:rsid w:val="0015167B"/>
  </w:style>
  <w:style w:type="paragraph" w:styleId="Listenabsatz">
    <w:name w:val="List Paragraph"/>
    <w:basedOn w:val="Standard"/>
    <w:uiPriority w:val="34"/>
    <w:qFormat/>
    <w:rsid w:val="0015167B"/>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5167B"/>
    <w:pPr>
      <w:spacing w:after="0" w:line="240" w:lineRule="auto"/>
    </w:pPr>
    <w:rPr>
      <w:rFonts w:ascii="Times New Roman" w:eastAsia="Times New Roman" w:hAnsi="Times New Roman" w:cs="Times New Roman"/>
      <w:sz w:val="2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15167B"/>
    <w:pPr>
      <w:tabs>
        <w:tab w:val="center" w:pos="4536"/>
        <w:tab w:val="right" w:pos="9072"/>
      </w:tabs>
    </w:pPr>
  </w:style>
  <w:style w:type="character" w:customStyle="1" w:styleId="FuzeileZchn">
    <w:name w:val="Fußzeile Zchn"/>
    <w:basedOn w:val="Absatz-Standardschriftart"/>
    <w:link w:val="Fuzeile"/>
    <w:rsid w:val="0015167B"/>
    <w:rPr>
      <w:rFonts w:ascii="Times New Roman" w:eastAsia="Times New Roman" w:hAnsi="Times New Roman" w:cs="Times New Roman"/>
      <w:sz w:val="26"/>
      <w:szCs w:val="20"/>
      <w:lang w:eastAsia="de-DE"/>
    </w:rPr>
  </w:style>
  <w:style w:type="character" w:styleId="Seitenzahl">
    <w:name w:val="page number"/>
    <w:basedOn w:val="Absatz-Standardschriftart"/>
    <w:rsid w:val="0015167B"/>
  </w:style>
  <w:style w:type="paragraph" w:styleId="Listenabsatz">
    <w:name w:val="List Paragraph"/>
    <w:basedOn w:val="Standard"/>
    <w:uiPriority w:val="34"/>
    <w:qFormat/>
    <w:rsid w:val="0015167B"/>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B0A88-0058-4000-9CBA-120AC7463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5806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 Nickel</dc:creator>
  <cp:lastModifiedBy>Klaus Böde</cp:lastModifiedBy>
  <cp:revision>3</cp:revision>
  <dcterms:created xsi:type="dcterms:W3CDTF">2017-12-15T07:30:00Z</dcterms:created>
  <dcterms:modified xsi:type="dcterms:W3CDTF">2017-12-15T07:46:00Z</dcterms:modified>
</cp:coreProperties>
</file>