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30A49" w14:textId="77777777" w:rsidR="008B6DC4" w:rsidRDefault="008B6D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17AE556F" w14:textId="77777777" w:rsidR="008B6DC4" w:rsidRDefault="005019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Beim Ausfüllen des Antrags auf projektbezogene Förderung (Projektpreis 202</w:t>
      </w:r>
      <w:r>
        <w:rPr>
          <w:rFonts w:ascii="Arial" w:eastAsia="Arial" w:hAnsi="Arial" w:cs="Arial"/>
          <w:sz w:val="28"/>
          <w:szCs w:val="28"/>
        </w:rPr>
        <w:t>4</w:t>
      </w:r>
      <w:r>
        <w:rPr>
          <w:rFonts w:ascii="Arial" w:eastAsia="Arial" w:hAnsi="Arial" w:cs="Arial"/>
          <w:color w:val="000000"/>
          <w:sz w:val="28"/>
          <w:szCs w:val="28"/>
        </w:rPr>
        <w:t>) der Medizinischen Fakultät sollte besonderer Wert auf die Beschreibung/Idee hinter dem Projekt gelegt werden.</w:t>
      </w:r>
    </w:p>
    <w:p w14:paraId="16103EAC" w14:textId="77777777" w:rsidR="008B6DC4" w:rsidRDefault="005019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Ausgefüllten Antrag speichern und an </w:t>
      </w:r>
      <w:hyperlink r:id="rId7">
        <w:r>
          <w:rPr>
            <w:rFonts w:ascii="Arial" w:eastAsia="Arial" w:hAnsi="Arial" w:cs="Arial"/>
            <w:color w:val="0563C1"/>
            <w:sz w:val="28"/>
            <w:szCs w:val="28"/>
            <w:u w:val="single"/>
          </w:rPr>
          <w:t>vorsitz@fachschaftmedizinhalle.de</w:t>
        </w:r>
      </w:hyperlink>
      <w:r>
        <w:rPr>
          <w:rFonts w:ascii="Arial" w:eastAsia="Arial" w:hAnsi="Arial" w:cs="Arial"/>
          <w:color w:val="000000"/>
          <w:sz w:val="28"/>
          <w:szCs w:val="28"/>
        </w:rPr>
        <w:t xml:space="preserve">  senden.</w:t>
      </w:r>
    </w:p>
    <w:p w14:paraId="0840FA92" w14:textId="77777777" w:rsidR="008B6DC4" w:rsidRDefault="008B6D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bookmarkStart w:id="0" w:name="_GoBack"/>
      <w:bookmarkEnd w:id="0"/>
    </w:p>
    <w:p w14:paraId="3FD95B5A" w14:textId="77777777" w:rsidR="008B6DC4" w:rsidRDefault="005019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Einsendeschluss ist der </w:t>
      </w:r>
      <w:r>
        <w:rPr>
          <w:rFonts w:ascii="Arial" w:eastAsia="Arial" w:hAnsi="Arial" w:cs="Arial"/>
          <w:sz w:val="28"/>
          <w:szCs w:val="28"/>
          <w:u w:val="single"/>
        </w:rPr>
        <w:t>30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 xml:space="preserve">. </w:t>
      </w:r>
      <w:r>
        <w:rPr>
          <w:rFonts w:ascii="Arial" w:eastAsia="Arial" w:hAnsi="Arial" w:cs="Arial"/>
          <w:sz w:val="28"/>
          <w:szCs w:val="28"/>
          <w:u w:val="single"/>
        </w:rPr>
        <w:t xml:space="preserve">August 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>202</w:t>
      </w:r>
      <w:r>
        <w:rPr>
          <w:rFonts w:ascii="Arial" w:eastAsia="Arial" w:hAnsi="Arial" w:cs="Arial"/>
          <w:sz w:val="28"/>
          <w:szCs w:val="28"/>
          <w:u w:val="single"/>
        </w:rPr>
        <w:t>4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 xml:space="preserve"> 23:59 Uhr</w:t>
      </w:r>
      <w:r>
        <w:rPr>
          <w:rFonts w:ascii="Arial" w:eastAsia="Arial" w:hAnsi="Arial" w:cs="Arial"/>
          <w:color w:val="000000"/>
          <w:sz w:val="28"/>
          <w:szCs w:val="28"/>
        </w:rPr>
        <w:t>. Bekanntgabe des geförderten Projekts erfolgt in einer Fakultätsratssitzung.</w:t>
      </w:r>
    </w:p>
    <w:p w14:paraId="10925AE6" w14:textId="77777777" w:rsidR="008B6DC4" w:rsidRDefault="008B6D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59B5DCCE" w14:textId="47D6D9E3" w:rsidR="008B6DC4" w:rsidRDefault="000D236E">
      <w:pPr>
        <w:pBdr>
          <w:top w:val="nil"/>
          <w:left w:val="nil"/>
          <w:bottom w:val="single" w:sz="4" w:space="1" w:color="00000A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M.Sc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. </w:t>
      </w:r>
      <w:r w:rsidR="00300FCC">
        <w:rPr>
          <w:rFonts w:ascii="Arial" w:eastAsia="Arial" w:hAnsi="Arial" w:cs="Arial"/>
          <w:color w:val="000000"/>
          <w:sz w:val="28"/>
          <w:szCs w:val="28"/>
        </w:rPr>
        <w:t>Laura Schmiljun</w:t>
      </w:r>
      <w:r w:rsidR="00DC7BBC">
        <w:rPr>
          <w:rFonts w:ascii="Arial" w:eastAsia="Arial" w:hAnsi="Arial" w:cs="Arial"/>
          <w:color w:val="000000"/>
          <w:sz w:val="28"/>
          <w:szCs w:val="28"/>
        </w:rPr>
        <w:t xml:space="preserve">, </w:t>
      </w:r>
      <w:r w:rsidR="007B41D0">
        <w:rPr>
          <w:rFonts w:ascii="Arial" w:eastAsia="Arial" w:hAnsi="Arial" w:cs="Arial"/>
          <w:color w:val="000000"/>
          <w:sz w:val="28"/>
          <w:szCs w:val="28"/>
        </w:rPr>
        <w:t xml:space="preserve">Dr. </w:t>
      </w:r>
      <w:r w:rsidR="00DC7BBC">
        <w:rPr>
          <w:rFonts w:ascii="Arial" w:eastAsia="Arial" w:hAnsi="Arial" w:cs="Arial"/>
          <w:color w:val="000000"/>
          <w:sz w:val="28"/>
          <w:szCs w:val="28"/>
        </w:rPr>
        <w:t>Juliane Kellner</w:t>
      </w:r>
      <w:r w:rsidR="00007CF8">
        <w:rPr>
          <w:rFonts w:ascii="Arial" w:eastAsia="Arial" w:hAnsi="Arial" w:cs="Arial"/>
          <w:color w:val="000000"/>
          <w:sz w:val="28"/>
          <w:szCs w:val="28"/>
        </w:rPr>
        <w:t>, Jacqueline Kittel</w:t>
      </w:r>
    </w:p>
    <w:p w14:paraId="30E4ADF8" w14:textId="77777777" w:rsidR="008B6DC4" w:rsidRDefault="008B6D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4FF2C27C" w14:textId="77777777" w:rsidR="008B6DC4" w:rsidRDefault="005019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Personengruppe des Antragsstellers innerhalb der Medizinischen Fakultät:</w:t>
      </w:r>
    </w:p>
    <w:p w14:paraId="2F1BDC26" w14:textId="77777777" w:rsidR="008B6DC4" w:rsidRDefault="008B6D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5AD9741F" w14:textId="77777777" w:rsidR="008B6DC4" w:rsidRDefault="005019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28"/>
          <w:szCs w:val="28"/>
        </w:rPr>
        <w:t>ProfessorIn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 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proofErr w:type="gramEnd"/>
      <w:r>
        <w:rPr>
          <w:rFonts w:ascii="Arial" w:eastAsia="Arial" w:hAnsi="Arial" w:cs="Arial"/>
          <w:color w:val="000000"/>
          <w:sz w:val="28"/>
          <w:szCs w:val="28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DozentIn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  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StudentIn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 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ab/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Sontiges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 </w:t>
      </w:r>
    </w:p>
    <w:p w14:paraId="6348ACB1" w14:textId="77777777" w:rsidR="008B6DC4" w:rsidRDefault="004A70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E8DC98B" wp14:editId="707985A0">
                <wp:simplePos x="0" y="0"/>
                <wp:positionH relativeFrom="column">
                  <wp:posOffset>1662430</wp:posOffset>
                </wp:positionH>
                <wp:positionV relativeFrom="paragraph">
                  <wp:posOffset>29209</wp:posOffset>
                </wp:positionV>
                <wp:extent cx="323850" cy="314325"/>
                <wp:effectExtent l="0" t="0" r="19050" b="28575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D96D7B" w14:textId="77777777" w:rsidR="008B6DC4" w:rsidRPr="004A709F" w:rsidRDefault="004A709F">
                            <w:pPr>
                              <w:spacing w:after="0" w:line="240" w:lineRule="auto"/>
                              <w:textDirection w:val="btLr"/>
                            </w:pPr>
                            <w:r w:rsidRPr="004A709F">
                              <w:t>x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_x0000_s1026" style="position:absolute;margin-left:130.9pt;margin-top:2.3pt;width:25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8B6DC4" w:rsidRPr="004A709F" w:rsidRDefault="004A709F">
                      <w:pPr>
                        <w:spacing w:after="0" w:line="240" w:lineRule="auto"/>
                        <w:textDirection w:val="btLr"/>
                      </w:pPr>
                      <w:r w:rsidRPr="004A709F"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50199A">
        <w:rPr>
          <w:rFonts w:ascii="Arial" w:eastAsia="Arial" w:hAnsi="Arial" w:cs="Arial"/>
          <w:color w:val="000000"/>
          <w:sz w:val="28"/>
          <w:szCs w:val="28"/>
        </w:rPr>
        <w:tab/>
      </w:r>
      <w:r w:rsidR="0050199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1084ACF" wp14:editId="362A8818">
                <wp:simplePos x="0" y="0"/>
                <wp:positionH relativeFrom="column">
                  <wp:posOffset>254000</wp:posOffset>
                </wp:positionH>
                <wp:positionV relativeFrom="paragraph">
                  <wp:posOffset>38100</wp:posOffset>
                </wp:positionV>
                <wp:extent cx="241300" cy="248920"/>
                <wp:effectExtent l="0" t="0" r="0" b="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1890"/>
                          <a:ext cx="22860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613143" w14:textId="77777777" w:rsidR="008B6DC4" w:rsidRDefault="008B6DC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_x0000_s1027" style="position:absolute;margin-left:20pt;margin-top:3pt;width:19pt;height:19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8B6DC4" w:rsidRDefault="008B6DC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0199A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18B3D099" wp14:editId="45562E49">
                <wp:simplePos x="0" y="0"/>
                <wp:positionH relativeFrom="column">
                  <wp:posOffset>3403600</wp:posOffset>
                </wp:positionH>
                <wp:positionV relativeFrom="paragraph">
                  <wp:posOffset>38100</wp:posOffset>
                </wp:positionV>
                <wp:extent cx="241300" cy="248920"/>
                <wp:effectExtent l="0" t="0" r="0" b="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1890"/>
                          <a:ext cx="22860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6E1B3D" w14:textId="77777777" w:rsidR="008B6DC4" w:rsidRDefault="008B6DC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3403600</wp:posOffset>
                </wp:positionH>
                <wp:positionV relativeFrom="paragraph">
                  <wp:posOffset>38100</wp:posOffset>
                </wp:positionV>
                <wp:extent cx="241300" cy="248920"/>
                <wp:effectExtent b="0" l="0" r="0" t="0"/>
                <wp:wrapNone/>
                <wp:docPr id="1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300" cy="2489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50199A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163A82E9" wp14:editId="5DBCD6B2">
                <wp:simplePos x="0" y="0"/>
                <wp:positionH relativeFrom="column">
                  <wp:posOffset>4775200</wp:posOffset>
                </wp:positionH>
                <wp:positionV relativeFrom="paragraph">
                  <wp:posOffset>38100</wp:posOffset>
                </wp:positionV>
                <wp:extent cx="241300" cy="248920"/>
                <wp:effectExtent l="0" t="0" r="0" b="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1890"/>
                          <a:ext cx="22860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A55E46" w14:textId="77777777" w:rsidR="008B6DC4" w:rsidRDefault="008B6DC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4775200</wp:posOffset>
                </wp:positionH>
                <wp:positionV relativeFrom="paragraph">
                  <wp:posOffset>38100</wp:posOffset>
                </wp:positionV>
                <wp:extent cx="241300" cy="248920"/>
                <wp:effectExtent b="0" l="0" r="0" t="0"/>
                <wp:wrapNone/>
                <wp:docPr id="1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300" cy="2489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615DD8F" w14:textId="77777777" w:rsidR="008B6DC4" w:rsidRDefault="008B6D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3FE1C04B" w14:textId="77777777" w:rsidR="008B6DC4" w:rsidRDefault="008B6D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529AD523" w14:textId="77777777" w:rsidR="008B6DC4" w:rsidRDefault="005019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Auflistung der beteiligten Institute/Kliniken/Einrichtungen und Personen:</w:t>
      </w:r>
    </w:p>
    <w:p w14:paraId="18EF7C07" w14:textId="77777777" w:rsidR="008B6DC4" w:rsidRDefault="005019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0855164" wp14:editId="0590444C">
                <wp:simplePos x="0" y="0"/>
                <wp:positionH relativeFrom="column">
                  <wp:posOffset>25401</wp:posOffset>
                </wp:positionH>
                <wp:positionV relativeFrom="paragraph">
                  <wp:posOffset>76200</wp:posOffset>
                </wp:positionV>
                <wp:extent cx="5975985" cy="931545"/>
                <wp:effectExtent l="0" t="0" r="0" b="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2770" y="3318990"/>
                          <a:ext cx="5966460" cy="922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DB3BB3" w14:textId="77777777" w:rsidR="0050199A" w:rsidRDefault="004A709F">
                            <w:pPr>
                              <w:spacing w:line="275" w:lineRule="auto"/>
                              <w:textDirection w:val="btLr"/>
                            </w:pPr>
                            <w:r>
                              <w:t>Dorothea-Erxleben-Ler</w:t>
                            </w:r>
                            <w:r w:rsidR="0050199A">
                              <w:t>nzentrum Halle (Saale)</w:t>
                            </w:r>
                            <w:r w:rsidR="00464529">
                              <w:t xml:space="preserve"> unter der Leitung von Dr. Dietrich Stoevesandt</w:t>
                            </w:r>
                            <w:r w:rsidR="0050199A">
                              <w:t>,</w:t>
                            </w:r>
                            <w:r w:rsidR="00F2147C">
                              <w:t xml:space="preserve"> SP-Koordinatorin Linn Hempel, </w:t>
                            </w:r>
                            <w:r w:rsidR="0050199A">
                              <w:t xml:space="preserve">Institut für Gesundheits- und Pflegewissenschaften, </w:t>
                            </w:r>
                            <w:r w:rsidR="00300FCC">
                              <w:t>Humanmedizin</w:t>
                            </w:r>
                            <w:r w:rsidR="0050199A">
                              <w:t xml:space="preserve">, Ausbildungszentrum für Gesundheitsberufe, </w:t>
                            </w:r>
                            <w:r w:rsidR="00DC7BBC">
                              <w:t>Tutor*innen des Skillslab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_x0000_s1030" style="position:absolute;margin-left:2pt;margin-top:6pt;width:470.55pt;height:73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50199A" w:rsidRDefault="004A709F">
                      <w:pPr>
                        <w:spacing w:line="275" w:lineRule="auto"/>
                        <w:textDirection w:val="btLr"/>
                      </w:pPr>
                      <w:r>
                        <w:t>Dorothea-</w:t>
                      </w:r>
                      <w:proofErr w:type="spellStart"/>
                      <w:r>
                        <w:t>Erxleben</w:t>
                      </w:r>
                      <w:proofErr w:type="spellEnd"/>
                      <w:r>
                        <w:t>-Ler</w:t>
                      </w:r>
                      <w:r w:rsidR="0050199A">
                        <w:t>nzentrum Halle (Saale)</w:t>
                      </w:r>
                      <w:r w:rsidR="00464529">
                        <w:t xml:space="preserve"> unter der Leitung von Dr. Dietrich Stoevesandt</w:t>
                      </w:r>
                      <w:r w:rsidR="0050199A">
                        <w:t>,</w:t>
                      </w:r>
                      <w:r w:rsidR="00F2147C">
                        <w:t xml:space="preserve"> SP-Koordinatorin Linn Hempel, </w:t>
                      </w:r>
                      <w:r w:rsidR="0050199A">
                        <w:t xml:space="preserve">Institut für Gesundheits- und Pflegewissenschaften, </w:t>
                      </w:r>
                      <w:r w:rsidR="00300FCC">
                        <w:t>Humanmedizin</w:t>
                      </w:r>
                      <w:r w:rsidR="0050199A">
                        <w:t xml:space="preserve">, Ausbildungszentrum für Gesundheitsberufe, </w:t>
                      </w:r>
                      <w:r w:rsidR="00DC7BBC">
                        <w:t>Tutor*innen des Skillslab</w:t>
                      </w:r>
                    </w:p>
                  </w:txbxContent>
                </v:textbox>
              </v:rect>
            </w:pict>
          </mc:Fallback>
        </mc:AlternateContent>
      </w:r>
    </w:p>
    <w:p w14:paraId="3675E9FE" w14:textId="77777777" w:rsidR="008B6DC4" w:rsidRDefault="008B6D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649E79C2" w14:textId="77777777" w:rsidR="008B6DC4" w:rsidRDefault="008B6D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2EB1E211" w14:textId="77777777" w:rsidR="008B6DC4" w:rsidRDefault="008B6D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793A70CD" w14:textId="77777777" w:rsidR="008B6DC4" w:rsidRDefault="008B6D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52066561" w14:textId="77777777" w:rsidR="008B6DC4" w:rsidRDefault="008B6D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5A6C0C49" w14:textId="77777777" w:rsidR="008B6DC4" w:rsidRDefault="005019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Offizieller Name des Projekts:</w:t>
      </w:r>
    </w:p>
    <w:p w14:paraId="7E202262" w14:textId="77777777" w:rsidR="008B6DC4" w:rsidRDefault="005019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A98B85B" wp14:editId="1FE53CFF">
                <wp:simplePos x="0" y="0"/>
                <wp:positionH relativeFrom="column">
                  <wp:posOffset>14606</wp:posOffset>
                </wp:positionH>
                <wp:positionV relativeFrom="paragraph">
                  <wp:posOffset>79856</wp:posOffset>
                </wp:positionV>
                <wp:extent cx="5914768" cy="329513"/>
                <wp:effectExtent l="0" t="0" r="10160" b="1397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768" cy="3295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915634" w14:textId="77777777" w:rsidR="008B6DC4" w:rsidRDefault="00DC7BBC" w:rsidP="00DC7BBC">
                            <w:pPr>
                              <w:spacing w:line="275" w:lineRule="auto"/>
                              <w:textDirection w:val="btLr"/>
                            </w:pPr>
                            <w:proofErr w:type="spellStart"/>
                            <w:r>
                              <w:t>Wound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rounds</w:t>
                            </w:r>
                            <w:proofErr w:type="spellEnd"/>
                            <w:r>
                              <w:t>–Wunden die verbinden-Eine interprofessionelle Lehreinheit zur Wundversorgung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_x0000_s1031" style="position:absolute;margin-left:1.15pt;margin-top:6.3pt;width:465.75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8B6DC4" w:rsidRDefault="00DC7BBC" w:rsidP="00DC7BBC">
                      <w:pPr>
                        <w:spacing w:line="275" w:lineRule="auto"/>
                        <w:textDirection w:val="btLr"/>
                      </w:pPr>
                      <w:proofErr w:type="spellStart"/>
                      <w:r>
                        <w:t>Wou</w:t>
                      </w:r>
                      <w:r>
                        <w:t>nd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rounds</w:t>
                      </w:r>
                      <w:proofErr w:type="spellEnd"/>
                      <w:r>
                        <w:t>–Wunden die verbinden-</w:t>
                      </w:r>
                      <w:r>
                        <w:t>Eine interprofessionelle Lehreinheit zur Wundversorgung</w:t>
                      </w:r>
                    </w:p>
                  </w:txbxContent>
                </v:textbox>
              </v:rect>
            </w:pict>
          </mc:Fallback>
        </mc:AlternateContent>
      </w:r>
    </w:p>
    <w:p w14:paraId="31D40FF3" w14:textId="77777777" w:rsidR="008B6DC4" w:rsidRDefault="008B6D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2F74AAFB" w14:textId="77777777" w:rsidR="008B6DC4" w:rsidRDefault="008B6D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29D02086" w14:textId="77777777" w:rsidR="008B6DC4" w:rsidRDefault="005019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Abstract (primär für Studierende zur Abstimmung sichtbar):</w:t>
      </w:r>
    </w:p>
    <w:p w14:paraId="307C7724" w14:textId="77777777" w:rsidR="008B6DC4" w:rsidRDefault="0050199A">
      <w:pPr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3861D67B" wp14:editId="1C6E1057">
                <wp:simplePos x="0" y="0"/>
                <wp:positionH relativeFrom="column">
                  <wp:posOffset>14604</wp:posOffset>
                </wp:positionH>
                <wp:positionV relativeFrom="paragraph">
                  <wp:posOffset>36331</wp:posOffset>
                </wp:positionV>
                <wp:extent cx="6268995" cy="3196281"/>
                <wp:effectExtent l="0" t="0" r="17780" b="2349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8995" cy="31962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04CA5E" w14:textId="69201755" w:rsidR="008B6DC4" w:rsidRDefault="00300FCC">
                            <w:pPr>
                              <w:spacing w:line="275" w:lineRule="auto"/>
                              <w:textDirection w:val="btLr"/>
                            </w:pPr>
                            <w:r w:rsidRPr="003C79D1">
                              <w:rPr>
                                <w:b/>
                              </w:rPr>
                              <w:t>Hintergrund</w:t>
                            </w:r>
                            <w:r>
                              <w:t xml:space="preserve">: </w:t>
                            </w:r>
                            <w:r w:rsidR="000B4A57">
                              <w:t>„</w:t>
                            </w:r>
                            <w:r w:rsidR="000B4A57" w:rsidRPr="000B4A57">
                              <w:t>Im Nationalen Kompetenzbasierten Lernzielkatalog in der Medizin sind unter der Thematik „Wunden und Ulcera der Haut und Schleimhäute“ elf medizinische Fachdisziplinen aufgeführt, in denen die</w:t>
                            </w:r>
                            <w:r w:rsidR="000B4A57">
                              <w:t xml:space="preserve"> Thematik repräsentiert ist.“ [1</w:t>
                            </w:r>
                            <w:r w:rsidR="000B4A57" w:rsidRPr="000B4A57">
                              <w:t>]</w:t>
                            </w:r>
                            <w:r w:rsidR="000B4A57">
                              <w:t>. Trotzdem wird das Thema Wundversorgung</w:t>
                            </w:r>
                            <w:r w:rsidR="00E916F9">
                              <w:t xml:space="preserve"> im Medizinstudium an der medizinischen Fakultät, der Martin-Luther-Universität nur sehr sporadisch im 6. </w:t>
                            </w:r>
                            <w:r w:rsidR="004943A0">
                              <w:t xml:space="preserve">Semester im Hygiene Praktikum und im 7. Semester im </w:t>
                            </w:r>
                            <w:proofErr w:type="spellStart"/>
                            <w:r w:rsidR="004943A0">
                              <w:t>Nahtkurs</w:t>
                            </w:r>
                            <w:proofErr w:type="spellEnd"/>
                            <w:r w:rsidR="004943A0">
                              <w:t xml:space="preserve"> behand</w:t>
                            </w:r>
                            <w:r w:rsidR="00A0653B">
                              <w:t>elt. Dies ist nicht ausreichend</w:t>
                            </w:r>
                            <w:r w:rsidR="004943A0">
                              <w:t>, um die Medizinstudierenden auf eine optimale Wundversorgung im Praxisalltag vorzubereiten. Doch diese ist zwingend notwendig,</w:t>
                            </w:r>
                            <w:r w:rsidR="00BA1F3A">
                              <w:t xml:space="preserve"> denn</w:t>
                            </w:r>
                            <w:r w:rsidR="004943A0">
                              <w:t xml:space="preserve"> </w:t>
                            </w:r>
                            <w:r w:rsidR="00BA1F3A">
                              <w:t>„[n]</w:t>
                            </w:r>
                            <w:proofErr w:type="spellStart"/>
                            <w:r w:rsidR="00BA1F3A" w:rsidRPr="00BA1F3A">
                              <w:t>icht</w:t>
                            </w:r>
                            <w:proofErr w:type="spellEnd"/>
                            <w:r w:rsidR="00BA1F3A" w:rsidRPr="00BA1F3A">
                              <w:t xml:space="preserve"> zuletzt durch den demografischen Wandel sind in Deutschland immer mehr, vor allem ältere Menschen von chronischen Wunden betroffen.</w:t>
                            </w:r>
                            <w:r w:rsidR="007B41D0">
                              <w:t>“</w:t>
                            </w:r>
                            <w:r w:rsidR="00BA1F3A" w:rsidRPr="00BA1F3A">
                              <w:t xml:space="preserve"> </w:t>
                            </w:r>
                            <w:r w:rsidR="000B4A57">
                              <w:t>[2</w:t>
                            </w:r>
                            <w:r w:rsidR="00A0653B">
                              <w:t xml:space="preserve">]. </w:t>
                            </w:r>
                            <w:r w:rsidRPr="003C79D1">
                              <w:rPr>
                                <w:b/>
                              </w:rPr>
                              <w:t>Ziel</w:t>
                            </w:r>
                            <w:r>
                              <w:t xml:space="preserve">: </w:t>
                            </w:r>
                            <w:r w:rsidR="003C79D1">
                              <w:t>Konzeption, Pilotierung und Evaluation einer interprofessionellen Lehrveranstaltung zur</w:t>
                            </w:r>
                            <w:r w:rsidR="00A0653B">
                              <w:t xml:space="preserve"> Befähigung einer kompetenten Wundversorgung</w:t>
                            </w:r>
                            <w:r w:rsidR="00677883" w:rsidRPr="00677883">
                              <w:rPr>
                                <w:b/>
                              </w:rPr>
                              <w:t>. Methode:</w:t>
                            </w:r>
                            <w:r w:rsidR="00677883">
                              <w:t xml:space="preserve"> M</w:t>
                            </w:r>
                            <w:r w:rsidR="003C79D1">
                              <w:t>ittel</w:t>
                            </w:r>
                            <w:r w:rsidR="00DC7BBC">
                              <w:t xml:space="preserve">s Impulsreferat durch </w:t>
                            </w:r>
                            <w:proofErr w:type="spellStart"/>
                            <w:r w:rsidR="00DC7BBC">
                              <w:t>Wundexpert</w:t>
                            </w:r>
                            <w:proofErr w:type="spellEnd"/>
                            <w:r w:rsidR="00DC7BBC">
                              <w:t xml:space="preserve">*innen, praktischen Übungen und </w:t>
                            </w:r>
                            <w:r w:rsidR="003C79D1">
                              <w:t xml:space="preserve">Simulationen </w:t>
                            </w:r>
                            <w:r w:rsidR="00DC7BBC">
                              <w:t xml:space="preserve">im Rotationsverfahren </w:t>
                            </w:r>
                            <w:r w:rsidR="003C79D1">
                              <w:t>in</w:t>
                            </w:r>
                            <w:r w:rsidR="00677883">
                              <w:t>nerhalb einer zweitägi</w:t>
                            </w:r>
                            <w:r w:rsidR="00E916F9">
                              <w:t>gen Lehrveranstaltung erlernen und üben</w:t>
                            </w:r>
                            <w:r w:rsidR="00677883">
                              <w:t xml:space="preserve"> Studierende und Auszubildende in interprofessionellen Gruppen</w:t>
                            </w:r>
                            <w:r w:rsidR="00E916F9">
                              <w:t xml:space="preserve"> die </w:t>
                            </w:r>
                            <w:r w:rsidR="00DC7BBC">
                              <w:t>Wundeinschätzung sowie Wundbehandlung</w:t>
                            </w:r>
                            <w:r w:rsidR="00E916F9">
                              <w:t xml:space="preserve"> an verschiedenen Wunden</w:t>
                            </w:r>
                            <w:r w:rsidR="00677883">
                              <w:t xml:space="preserve">. Im </w:t>
                            </w:r>
                            <w:r w:rsidR="00677883" w:rsidRPr="00677883">
                              <w:rPr>
                                <w:b/>
                              </w:rPr>
                              <w:t>Ergebnis</w:t>
                            </w:r>
                            <w:r w:rsidR="00677883">
                              <w:t xml:space="preserve"> wird</w:t>
                            </w:r>
                            <w:r w:rsidR="00E916F9">
                              <w:t xml:space="preserve"> erwartet</w:t>
                            </w:r>
                            <w:r w:rsidR="007B41D0">
                              <w:t xml:space="preserve">, </w:t>
                            </w:r>
                            <w:r w:rsidR="00E916F9">
                              <w:t>das</w:t>
                            </w:r>
                            <w:r w:rsidR="007B41D0">
                              <w:t>s</w:t>
                            </w:r>
                            <w:r w:rsidR="00E916F9">
                              <w:t xml:space="preserve"> die Lernenden ihre Kompetenzen im Wundmanagement (Wundeinschätzung bis hin zur richtigen Auswahl der Wundauflage) </w:t>
                            </w:r>
                            <w:r w:rsidR="00677883">
                              <w:t xml:space="preserve">und </w:t>
                            </w:r>
                            <w:r w:rsidR="00E916F9">
                              <w:t xml:space="preserve">ihre </w:t>
                            </w:r>
                            <w:r w:rsidR="00677883">
                              <w:t>interprofe</w:t>
                            </w:r>
                            <w:r w:rsidR="00E916F9">
                              <w:t>ssionellen Kompetenzen erweitern</w:t>
                            </w:r>
                            <w:r w:rsidR="00677883">
                              <w:t>.</w:t>
                            </w:r>
                            <w:r w:rsidR="00276361">
                              <w:t xml:space="preserve"> </w:t>
                            </w:r>
                            <w:r w:rsidR="00276361" w:rsidRPr="00276361">
                              <w:rPr>
                                <w:b/>
                              </w:rPr>
                              <w:t>Ausblick:</w:t>
                            </w:r>
                            <w:r w:rsidR="00276361">
                              <w:t xml:space="preserve"> </w:t>
                            </w:r>
                            <w:r w:rsidR="00E916F9">
                              <w:t xml:space="preserve">Nach erfolgreicher Pilotierung soll diese Lehreinheit curricular zu verstetigt und zusätzliche </w:t>
                            </w:r>
                            <w:r w:rsidR="00A33805">
                              <w:t>Lehra</w:t>
                            </w:r>
                            <w:r w:rsidR="00E916F9">
                              <w:t xml:space="preserve">ngebote zur </w:t>
                            </w:r>
                            <w:r w:rsidR="00A0653B">
                              <w:t>Wundversorgung geschaffen werden.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1D67B" id="Rechteck 11" o:spid="_x0000_s1032" style="position:absolute;margin-left:1.15pt;margin-top:2.85pt;width:493.6pt;height:25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504CA5E" w14:textId="69201755" w:rsidR="008B6DC4" w:rsidRDefault="00300FCC">
                      <w:pPr>
                        <w:spacing w:line="275" w:lineRule="auto"/>
                        <w:textDirection w:val="btLr"/>
                      </w:pPr>
                      <w:r w:rsidRPr="003C79D1">
                        <w:rPr>
                          <w:b/>
                        </w:rPr>
                        <w:t>Hintergrund</w:t>
                      </w:r>
                      <w:r>
                        <w:t xml:space="preserve">: </w:t>
                      </w:r>
                      <w:r w:rsidR="000B4A57">
                        <w:t>„</w:t>
                      </w:r>
                      <w:r w:rsidR="000B4A57" w:rsidRPr="000B4A57">
                        <w:t>Im Nationalen Kompetenzbasierten Lernzielkatalog in der Medizin sind unter der Thematik „Wunden und Ulcera der Haut und Schleimhäute“ elf medizinische Fachdisziplinen aufgeführt, in denen die</w:t>
                      </w:r>
                      <w:r w:rsidR="000B4A57">
                        <w:t xml:space="preserve"> Thematik repräsentiert ist.“ [1</w:t>
                      </w:r>
                      <w:r w:rsidR="000B4A57" w:rsidRPr="000B4A57">
                        <w:t>]</w:t>
                      </w:r>
                      <w:r w:rsidR="000B4A57">
                        <w:t>. Trotzdem wird das Thema Wundversorgung</w:t>
                      </w:r>
                      <w:r w:rsidR="00E916F9">
                        <w:t xml:space="preserve"> im Medizinstudium an der medizinischen Fakultät, der Martin-Luther-Universität nur sehr sporadisch im 6. </w:t>
                      </w:r>
                      <w:r w:rsidR="004943A0">
                        <w:t xml:space="preserve">Semester im Hygiene Praktikum und im 7. Semester im </w:t>
                      </w:r>
                      <w:proofErr w:type="spellStart"/>
                      <w:r w:rsidR="004943A0">
                        <w:t>Nahtkurs</w:t>
                      </w:r>
                      <w:proofErr w:type="spellEnd"/>
                      <w:r w:rsidR="004943A0">
                        <w:t xml:space="preserve"> behand</w:t>
                      </w:r>
                      <w:r w:rsidR="00A0653B">
                        <w:t>elt. Dies ist nicht ausreichend</w:t>
                      </w:r>
                      <w:r w:rsidR="004943A0">
                        <w:t>, um die Medizinstudierenden auf eine optimale Wundversorgung im Praxisalltag vorzubereiten. Doch diese ist zwingend notwendig,</w:t>
                      </w:r>
                      <w:r w:rsidR="00BA1F3A">
                        <w:t xml:space="preserve"> denn</w:t>
                      </w:r>
                      <w:r w:rsidR="004943A0">
                        <w:t xml:space="preserve"> </w:t>
                      </w:r>
                      <w:r w:rsidR="00BA1F3A">
                        <w:t>„[n]</w:t>
                      </w:r>
                      <w:proofErr w:type="spellStart"/>
                      <w:r w:rsidR="00BA1F3A" w:rsidRPr="00BA1F3A">
                        <w:t>icht</w:t>
                      </w:r>
                      <w:proofErr w:type="spellEnd"/>
                      <w:r w:rsidR="00BA1F3A" w:rsidRPr="00BA1F3A">
                        <w:t xml:space="preserve"> zuletzt durch den demografischen Wandel sind in Deutschland immer mehr, vor allem ältere Menschen von chronischen Wunden betroffen.</w:t>
                      </w:r>
                      <w:r w:rsidR="007B41D0">
                        <w:t>“</w:t>
                      </w:r>
                      <w:r w:rsidR="00BA1F3A" w:rsidRPr="00BA1F3A">
                        <w:t xml:space="preserve"> </w:t>
                      </w:r>
                      <w:r w:rsidR="000B4A57">
                        <w:t>[2</w:t>
                      </w:r>
                      <w:r w:rsidR="00A0653B">
                        <w:t xml:space="preserve">]. </w:t>
                      </w:r>
                      <w:r w:rsidRPr="003C79D1">
                        <w:rPr>
                          <w:b/>
                        </w:rPr>
                        <w:t>Ziel</w:t>
                      </w:r>
                      <w:r>
                        <w:t xml:space="preserve">: </w:t>
                      </w:r>
                      <w:r w:rsidR="003C79D1">
                        <w:t>Konzeption, Pilotierung und Evaluation einer interprofessionellen Lehrveranstaltung zur</w:t>
                      </w:r>
                      <w:r w:rsidR="00A0653B">
                        <w:t xml:space="preserve"> Befähigung einer kompetenten Wundversorgung</w:t>
                      </w:r>
                      <w:r w:rsidR="00677883" w:rsidRPr="00677883">
                        <w:rPr>
                          <w:b/>
                        </w:rPr>
                        <w:t>. Methode:</w:t>
                      </w:r>
                      <w:r w:rsidR="00677883">
                        <w:t xml:space="preserve"> M</w:t>
                      </w:r>
                      <w:r w:rsidR="003C79D1">
                        <w:t>ittel</w:t>
                      </w:r>
                      <w:r w:rsidR="00DC7BBC">
                        <w:t xml:space="preserve">s Impulsreferat durch </w:t>
                      </w:r>
                      <w:proofErr w:type="spellStart"/>
                      <w:r w:rsidR="00DC7BBC">
                        <w:t>Wundexpert</w:t>
                      </w:r>
                      <w:proofErr w:type="spellEnd"/>
                      <w:r w:rsidR="00DC7BBC">
                        <w:t xml:space="preserve">*innen, praktischen Übungen und </w:t>
                      </w:r>
                      <w:r w:rsidR="003C79D1">
                        <w:t xml:space="preserve">Simulationen </w:t>
                      </w:r>
                      <w:r w:rsidR="00DC7BBC">
                        <w:t xml:space="preserve">im Rotationsverfahren </w:t>
                      </w:r>
                      <w:r w:rsidR="003C79D1">
                        <w:t>in</w:t>
                      </w:r>
                      <w:r w:rsidR="00677883">
                        <w:t>nerhalb einer zweitägi</w:t>
                      </w:r>
                      <w:r w:rsidR="00E916F9">
                        <w:t>gen Lehrveranstaltung erlernen und üben</w:t>
                      </w:r>
                      <w:r w:rsidR="00677883">
                        <w:t xml:space="preserve"> Studierende und Auszubildende in interprofessionellen Gruppen</w:t>
                      </w:r>
                      <w:r w:rsidR="00E916F9">
                        <w:t xml:space="preserve"> die </w:t>
                      </w:r>
                      <w:r w:rsidR="00DC7BBC">
                        <w:t>Wundeinschätzung sowie Wundbehandlung</w:t>
                      </w:r>
                      <w:r w:rsidR="00E916F9">
                        <w:t xml:space="preserve"> an verschiedenen Wunden</w:t>
                      </w:r>
                      <w:r w:rsidR="00677883">
                        <w:t xml:space="preserve">. Im </w:t>
                      </w:r>
                      <w:r w:rsidR="00677883" w:rsidRPr="00677883">
                        <w:rPr>
                          <w:b/>
                        </w:rPr>
                        <w:t>Ergebnis</w:t>
                      </w:r>
                      <w:r w:rsidR="00677883">
                        <w:t xml:space="preserve"> wird</w:t>
                      </w:r>
                      <w:r w:rsidR="00E916F9">
                        <w:t xml:space="preserve"> erwartet</w:t>
                      </w:r>
                      <w:r w:rsidR="007B41D0">
                        <w:t xml:space="preserve">, </w:t>
                      </w:r>
                      <w:r w:rsidR="00E916F9">
                        <w:t>das</w:t>
                      </w:r>
                      <w:r w:rsidR="007B41D0">
                        <w:t>s</w:t>
                      </w:r>
                      <w:r w:rsidR="00E916F9">
                        <w:t xml:space="preserve"> die Lernenden ihre Kompetenzen im Wundmanagement (Wundeinschätzung bis hin zur richtigen Auswahl der Wundauflage) </w:t>
                      </w:r>
                      <w:r w:rsidR="00677883">
                        <w:t xml:space="preserve">und </w:t>
                      </w:r>
                      <w:r w:rsidR="00E916F9">
                        <w:t xml:space="preserve">ihre </w:t>
                      </w:r>
                      <w:r w:rsidR="00677883">
                        <w:t>interprofe</w:t>
                      </w:r>
                      <w:r w:rsidR="00E916F9">
                        <w:t>ssionellen Kompetenzen erweitern</w:t>
                      </w:r>
                      <w:r w:rsidR="00677883">
                        <w:t>.</w:t>
                      </w:r>
                      <w:r w:rsidR="00276361">
                        <w:t xml:space="preserve"> </w:t>
                      </w:r>
                      <w:r w:rsidR="00276361" w:rsidRPr="00276361">
                        <w:rPr>
                          <w:b/>
                        </w:rPr>
                        <w:t>Ausblick:</w:t>
                      </w:r>
                      <w:r w:rsidR="00276361">
                        <w:t xml:space="preserve"> </w:t>
                      </w:r>
                      <w:r w:rsidR="00E916F9">
                        <w:t xml:space="preserve">Nach erfolgreicher Pilotierung soll diese Lehreinheit curricular zu verstetigt und zusätzliche </w:t>
                      </w:r>
                      <w:r w:rsidR="00A33805">
                        <w:t>Lehra</w:t>
                      </w:r>
                      <w:r w:rsidR="00E916F9">
                        <w:t xml:space="preserve">ngebote zur </w:t>
                      </w:r>
                      <w:r w:rsidR="00A0653B">
                        <w:t>Wundversorgung geschaffen werden.</w:t>
                      </w:r>
                    </w:p>
                  </w:txbxContent>
                </v:textbox>
              </v:rect>
            </w:pict>
          </mc:Fallback>
        </mc:AlternateContent>
      </w:r>
    </w:p>
    <w:p w14:paraId="31F37E57" w14:textId="77777777" w:rsidR="008B6DC4" w:rsidRDefault="008B6DC4">
      <w:pPr>
        <w:rPr>
          <w:rFonts w:ascii="Arial" w:eastAsia="Arial" w:hAnsi="Arial" w:cs="Arial"/>
          <w:sz w:val="28"/>
          <w:szCs w:val="28"/>
        </w:rPr>
      </w:pPr>
    </w:p>
    <w:p w14:paraId="65429669" w14:textId="77777777" w:rsidR="008B6DC4" w:rsidRDefault="008B6DC4">
      <w:pPr>
        <w:rPr>
          <w:rFonts w:ascii="Arial" w:eastAsia="Arial" w:hAnsi="Arial" w:cs="Arial"/>
          <w:sz w:val="28"/>
          <w:szCs w:val="28"/>
        </w:rPr>
      </w:pPr>
    </w:p>
    <w:p w14:paraId="46912CEF" w14:textId="77777777" w:rsidR="008B6DC4" w:rsidRDefault="008B6DC4">
      <w:pPr>
        <w:rPr>
          <w:rFonts w:ascii="Arial" w:eastAsia="Arial" w:hAnsi="Arial" w:cs="Arial"/>
          <w:sz w:val="28"/>
          <w:szCs w:val="28"/>
        </w:rPr>
      </w:pPr>
    </w:p>
    <w:p w14:paraId="4A75B127" w14:textId="77777777" w:rsidR="008B6DC4" w:rsidRDefault="008B6DC4">
      <w:pPr>
        <w:rPr>
          <w:rFonts w:ascii="Arial" w:eastAsia="Arial" w:hAnsi="Arial" w:cs="Arial"/>
          <w:sz w:val="28"/>
          <w:szCs w:val="28"/>
        </w:rPr>
      </w:pPr>
    </w:p>
    <w:p w14:paraId="201A0754" w14:textId="77777777" w:rsidR="008B6DC4" w:rsidRDefault="008B6DC4">
      <w:pPr>
        <w:spacing w:line="240" w:lineRule="auto"/>
        <w:rPr>
          <w:rFonts w:ascii="Arial" w:eastAsia="Arial" w:hAnsi="Arial" w:cs="Arial"/>
          <w:sz w:val="28"/>
          <w:szCs w:val="28"/>
        </w:rPr>
      </w:pPr>
    </w:p>
    <w:p w14:paraId="2197D30C" w14:textId="77777777" w:rsidR="008B6DC4" w:rsidRDefault="008B6DC4">
      <w:pPr>
        <w:spacing w:line="240" w:lineRule="auto"/>
        <w:rPr>
          <w:rFonts w:ascii="Arial" w:eastAsia="Arial" w:hAnsi="Arial" w:cs="Arial"/>
          <w:sz w:val="28"/>
          <w:szCs w:val="28"/>
        </w:rPr>
      </w:pPr>
    </w:p>
    <w:p w14:paraId="5888294E" w14:textId="77777777" w:rsidR="008B6DC4" w:rsidRDefault="0050199A">
      <w:pPr>
        <w:spacing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>Idee hinter dem Projekt / Durchführung / erwarteter „Mehrwert“ für die Medizinische Fakultät / Abzuschätzender Zeitplan:</w:t>
      </w:r>
    </w:p>
    <w:p w14:paraId="7AA58D25" w14:textId="77777777" w:rsidR="008B6DC4" w:rsidRDefault="0050199A">
      <w:pPr>
        <w:spacing w:line="240" w:lineRule="auto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4575A369" wp14:editId="4D0AC9C3">
                <wp:simplePos x="0" y="0"/>
                <wp:positionH relativeFrom="margin">
                  <wp:posOffset>-635</wp:posOffset>
                </wp:positionH>
                <wp:positionV relativeFrom="paragraph">
                  <wp:posOffset>27305</wp:posOffset>
                </wp:positionV>
                <wp:extent cx="5859780" cy="4602480"/>
                <wp:effectExtent l="0" t="0" r="26670" b="2667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780" cy="460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8E68C9" w14:textId="107701FF" w:rsidR="00370A0B" w:rsidRDefault="000B4A57" w:rsidP="00F47A7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t xml:space="preserve">Obwohl die zukünftigen Ärzte und Ärztinnen später einmal Wundauflagen verordnen, besteht eine große Unsicherheit bei der Wundversorgung und der Wahl der passenden Wundauflage. Während </w:t>
                            </w:r>
                            <w:r w:rsidR="00F47A70">
                              <w:t xml:space="preserve">bei den </w:t>
                            </w:r>
                            <w:r>
                              <w:t>Auszubildende</w:t>
                            </w:r>
                            <w:r w:rsidR="007B41D0">
                              <w:t>n</w:t>
                            </w:r>
                            <w:r>
                              <w:t xml:space="preserve"> der</w:t>
                            </w:r>
                            <w:r w:rsidR="00F47A70">
                              <w:t xml:space="preserve"> Pflege das </w:t>
                            </w:r>
                            <w:r w:rsidR="00F47A70" w:rsidRPr="00F47A70">
                              <w:t>prozessbegleitend</w:t>
                            </w:r>
                            <w:r w:rsidR="00F47A70">
                              <w:t>e Ein</w:t>
                            </w:r>
                            <w:r w:rsidR="00F47A70" w:rsidRPr="00F47A70">
                              <w:t>schätzen chronische</w:t>
                            </w:r>
                            <w:r w:rsidR="00F47A70">
                              <w:t>r</w:t>
                            </w:r>
                            <w:r w:rsidR="00F47A70" w:rsidRPr="00F47A70">
                              <w:t xml:space="preserve"> Wunden </w:t>
                            </w:r>
                            <w:r w:rsidR="00F47A70">
                              <w:t>bei Menschen aller Altersstufen, die</w:t>
                            </w:r>
                            <w:r w:rsidR="00F47A70" w:rsidRPr="00F47A70">
                              <w:t xml:space="preserve"> verordnungsgerecht</w:t>
                            </w:r>
                            <w:r w:rsidR="00F47A70">
                              <w:t>e Versorgung sowie die Abstimmung der</w:t>
                            </w:r>
                            <w:r w:rsidR="00F47A70" w:rsidRPr="00F47A70">
                              <w:t xml:space="preserve"> Behandlung</w:t>
                            </w:r>
                            <w:r w:rsidR="00F47A70">
                              <w:t xml:space="preserve"> mit der Ärztin oder dem Arzt (III.2.e) zu den staatlich geprüften Kompetenzen zählt und mehrfach in der Ausbildung behandelt wird</w:t>
                            </w:r>
                            <w:r w:rsidR="005F6A18">
                              <w:t xml:space="preserve"> [3]</w:t>
                            </w:r>
                            <w:r w:rsidR="00F47A70">
                              <w:t xml:space="preserve">. </w:t>
                            </w:r>
                            <w:r w:rsidR="005F6A18">
                              <w:t xml:space="preserve">Um eine optimale Wundversorgung bei Patient*innen zu gewährleisten müssen Studierende der Humanmedizin bereits in ihrer Ausbildung umfassend zum Wundmanagement geschult und auf die Behandlung von chronischen Wunden in enger Zusammenarbeit mit der Pflege </w:t>
                            </w:r>
                            <w:r w:rsidR="009E21E5">
                              <w:t>vorbereitet</w:t>
                            </w:r>
                            <w:r w:rsidR="00276361">
                              <w:t xml:space="preserve"> werden. Dies erfolgt durch</w:t>
                            </w:r>
                            <w:r w:rsidR="00464529">
                              <w:t xml:space="preserve"> eine interprofessionelle Lehrveranstaltung, die zweitägig (Dienstag und Donnerstag) im Umfang von 240 Minuten (5,3)</w:t>
                            </w:r>
                            <w:r w:rsidR="005F6A18">
                              <w:t>, für insgesamt 18</w:t>
                            </w:r>
                            <w:r w:rsidR="00370A0B">
                              <w:t xml:space="preserve"> </w:t>
                            </w:r>
                            <w:r w:rsidR="00F2147C">
                              <w:t>Teilnehmer*innen</w:t>
                            </w:r>
                            <w:r w:rsidR="00464529">
                              <w:t xml:space="preserve"> </w:t>
                            </w:r>
                            <w:r w:rsidR="00276361">
                              <w:t>(</w:t>
                            </w:r>
                            <w:r w:rsidR="00370A0B">
                              <w:t>9</w:t>
                            </w:r>
                            <w:r w:rsidR="0071249D">
                              <w:t xml:space="preserve"> </w:t>
                            </w:r>
                            <w:proofErr w:type="spellStart"/>
                            <w:r w:rsidR="0071249D">
                              <w:t>EbP</w:t>
                            </w:r>
                            <w:proofErr w:type="spellEnd"/>
                            <w:r w:rsidR="0071249D">
                              <w:t xml:space="preserve"> oder Azubis aus der Pflege und </w:t>
                            </w:r>
                            <w:r w:rsidR="005F6A18">
                              <w:t>9</w:t>
                            </w:r>
                            <w:r w:rsidR="00370A0B">
                              <w:t xml:space="preserve"> </w:t>
                            </w:r>
                            <w:r w:rsidR="0071249D">
                              <w:t>Studierende der Humanmedizin</w:t>
                            </w:r>
                            <w:r w:rsidR="00DC5FA2">
                              <w:t xml:space="preserve"> (PJ)</w:t>
                            </w:r>
                            <w:r w:rsidR="005F6A18">
                              <w:t>)</w:t>
                            </w:r>
                            <w:r w:rsidR="0071249D">
                              <w:t xml:space="preserve"> im Somm</w:t>
                            </w:r>
                            <w:r w:rsidR="00276361">
                              <w:t>ersemester</w:t>
                            </w:r>
                            <w:r w:rsidR="0071249D">
                              <w:t xml:space="preserve"> 2025</w:t>
                            </w:r>
                            <w:r w:rsidR="00276361">
                              <w:t xml:space="preserve"> mehrfach angeboten wird</w:t>
                            </w:r>
                            <w:r w:rsidR="00370A0B">
                              <w:t>. Der Mehrwert dieser</w:t>
                            </w:r>
                            <w:r w:rsidR="00684523">
                              <w:t xml:space="preserve"> Lehrveranstaltung liegt darin</w:t>
                            </w:r>
                            <w:r w:rsidR="00A0653B">
                              <w:t>, dass die Lernenden Wissen zur Wundeinschätzung, Wundversorgung und Wundauflagen</w:t>
                            </w:r>
                            <w:r w:rsidR="00684523">
                              <w:t xml:space="preserve"> generieren, </w:t>
                            </w:r>
                            <w:r w:rsidR="009E21E5">
                              <w:t xml:space="preserve">eigenständig </w:t>
                            </w:r>
                            <w:r w:rsidR="00684523">
                              <w:t>in der Beobachtung und Diagnostik</w:t>
                            </w:r>
                            <w:r w:rsidR="00A0653B">
                              <w:t xml:space="preserve"> sowie der inte</w:t>
                            </w:r>
                            <w:r w:rsidR="007B41D0">
                              <w:t>r</w:t>
                            </w:r>
                            <w:r w:rsidR="00A0653B">
                              <w:t xml:space="preserve">professionellen Kommunikation im Kontext der Wundversorgung </w:t>
                            </w:r>
                            <w:r w:rsidR="00684523">
                              <w:t>geschult werden und gemeinsam und interprofessionell Behandlungsstrategien entwickeln</w:t>
                            </w:r>
                            <w:r w:rsidR="00A0653B">
                              <w:t xml:space="preserve"> und auch praktisch umsetzen.</w:t>
                            </w:r>
                            <w:r w:rsidR="00370A0B">
                              <w:br/>
                            </w:r>
                            <w:r w:rsidR="00F2147C">
                              <w:t>Okt</w:t>
                            </w:r>
                            <w:r w:rsidR="007B41D0">
                              <w:t xml:space="preserve">. </w:t>
                            </w:r>
                            <w:r w:rsidR="00F2147C">
                              <w:t>24</w:t>
                            </w:r>
                            <w:r w:rsidR="005F6A18">
                              <w:t xml:space="preserve"> – Dez 24</w:t>
                            </w:r>
                            <w:r w:rsidR="00F2147C">
                              <w:t>: Erstellung der Lehrkonzeption</w:t>
                            </w:r>
                            <w:r w:rsidR="005F6A18">
                              <w:t xml:space="preserve"> + SP-Skripte</w:t>
                            </w:r>
                            <w:r w:rsidR="0071249D">
                              <w:br/>
                              <w:t>Jan</w:t>
                            </w:r>
                            <w:r w:rsidR="007B41D0">
                              <w:t>.</w:t>
                            </w:r>
                            <w:r w:rsidR="0071249D">
                              <w:t xml:space="preserve"> 25: Rekrutierung der SP</w:t>
                            </w:r>
                            <w:r w:rsidR="0071249D">
                              <w:br/>
                              <w:t>Feb</w:t>
                            </w:r>
                            <w:r w:rsidR="007B41D0">
                              <w:t>.</w:t>
                            </w:r>
                            <w:r w:rsidR="0071249D">
                              <w:t xml:space="preserve"> 25</w:t>
                            </w:r>
                            <w:r w:rsidR="00F2147C">
                              <w:t xml:space="preserve">: </w:t>
                            </w:r>
                            <w:r w:rsidR="0071249D">
                              <w:t>W</w:t>
                            </w:r>
                            <w:r w:rsidR="005F6A18">
                              <w:t xml:space="preserve">orkshop  Tutor*innen Schulung Wundversorgung </w:t>
                            </w:r>
                            <w:r w:rsidR="00DC5FA2">
                              <w:t>(zweitägig)</w:t>
                            </w:r>
                            <w:r w:rsidR="0071249D">
                              <w:br/>
                              <w:t xml:space="preserve">März 25: </w:t>
                            </w:r>
                            <w:r w:rsidR="00370A0B">
                              <w:t>Probetraining SP</w:t>
                            </w:r>
                            <w:r w:rsidR="00370A0B">
                              <w:br/>
                              <w:t>Apr.-Sept. 25: Durchführung der interprofessionellen Lehrveranstaltung</w:t>
                            </w:r>
                            <w:r w:rsidR="00007CF8">
                              <w:t xml:space="preserve"> und Evaluation</w:t>
                            </w:r>
                          </w:p>
                          <w:p w14:paraId="6256B6D1" w14:textId="77777777" w:rsidR="00F2147C" w:rsidRDefault="0071249D">
                            <w:pPr>
                              <w:spacing w:line="275" w:lineRule="auto"/>
                              <w:textDirection w:val="btLr"/>
                            </w:pPr>
                            <w:r>
                              <w:t xml:space="preserve"> </w:t>
                            </w:r>
                          </w:p>
                          <w:p w14:paraId="33B05AED" w14:textId="77777777" w:rsidR="00F2147C" w:rsidRDefault="00F2147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5A369" id="Rechteck 17" o:spid="_x0000_s1033" style="position:absolute;margin-left:-.05pt;margin-top:2.15pt;width:461.4pt;height:362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08E68C9" w14:textId="107701FF" w:rsidR="00370A0B" w:rsidRDefault="000B4A57" w:rsidP="00F47A70">
                      <w:pPr>
                        <w:spacing w:line="275" w:lineRule="auto"/>
                        <w:textDirection w:val="btLr"/>
                      </w:pPr>
                      <w:r>
                        <w:t xml:space="preserve">Obwohl die zukünftigen Ärzte und Ärztinnen später einmal Wundauflagen verordnen, besteht eine große Unsicherheit bei der Wundversorgung und der Wahl der passenden Wundauflage. Während </w:t>
                      </w:r>
                      <w:r w:rsidR="00F47A70">
                        <w:t xml:space="preserve">bei den </w:t>
                      </w:r>
                      <w:r>
                        <w:t>Auszubildende</w:t>
                      </w:r>
                      <w:r w:rsidR="007B41D0">
                        <w:t>n</w:t>
                      </w:r>
                      <w:r>
                        <w:t xml:space="preserve"> der</w:t>
                      </w:r>
                      <w:r w:rsidR="00F47A70">
                        <w:t xml:space="preserve"> Pflege das </w:t>
                      </w:r>
                      <w:r w:rsidR="00F47A70" w:rsidRPr="00F47A70">
                        <w:t>prozessbegleitend</w:t>
                      </w:r>
                      <w:r w:rsidR="00F47A70">
                        <w:t>e Ein</w:t>
                      </w:r>
                      <w:r w:rsidR="00F47A70" w:rsidRPr="00F47A70">
                        <w:t>schätzen chronische</w:t>
                      </w:r>
                      <w:r w:rsidR="00F47A70">
                        <w:t>r</w:t>
                      </w:r>
                      <w:r w:rsidR="00F47A70" w:rsidRPr="00F47A70">
                        <w:t xml:space="preserve"> Wunden </w:t>
                      </w:r>
                      <w:r w:rsidR="00F47A70">
                        <w:t>bei Menschen aller Altersstufen, die</w:t>
                      </w:r>
                      <w:r w:rsidR="00F47A70" w:rsidRPr="00F47A70">
                        <w:t xml:space="preserve"> verordnungsgerecht</w:t>
                      </w:r>
                      <w:r w:rsidR="00F47A70">
                        <w:t>e Versorgung sowie die Abstimmung der</w:t>
                      </w:r>
                      <w:r w:rsidR="00F47A70" w:rsidRPr="00F47A70">
                        <w:t xml:space="preserve"> Behandlung</w:t>
                      </w:r>
                      <w:r w:rsidR="00F47A70">
                        <w:t xml:space="preserve"> mit der Ärztin oder dem Arzt (III.2.e) zu den staatlich geprüften Kompetenzen zählt und mehrfach in der Ausbildung behandelt wird</w:t>
                      </w:r>
                      <w:r w:rsidR="005F6A18">
                        <w:t xml:space="preserve"> [3]</w:t>
                      </w:r>
                      <w:r w:rsidR="00F47A70">
                        <w:t xml:space="preserve">. </w:t>
                      </w:r>
                      <w:r w:rsidR="005F6A18">
                        <w:t xml:space="preserve">Um eine optimale Wundversorgung bei Patient*innen zu gewährleisten müssen Studierende der Humanmedizin bereits in ihrer Ausbildung umfassend zum Wundmanagement geschult und auf die Behandlung von chronischen Wunden in enger Zusammenarbeit mit der Pflege </w:t>
                      </w:r>
                      <w:r w:rsidR="009E21E5">
                        <w:t>vorbereitet</w:t>
                      </w:r>
                      <w:r w:rsidR="00276361">
                        <w:t xml:space="preserve"> werden. Dies erfolgt durch</w:t>
                      </w:r>
                      <w:r w:rsidR="00464529">
                        <w:t xml:space="preserve"> eine interprofessionelle Lehrveranstaltung, die zweitägig (Dienstag und Donnerstag) im Umfang von 240 Minuten (5,3)</w:t>
                      </w:r>
                      <w:r w:rsidR="005F6A18">
                        <w:t>, für insgesamt 18</w:t>
                      </w:r>
                      <w:r w:rsidR="00370A0B">
                        <w:t xml:space="preserve"> </w:t>
                      </w:r>
                      <w:r w:rsidR="00F2147C">
                        <w:t>Teilnehmer*innen</w:t>
                      </w:r>
                      <w:r w:rsidR="00464529">
                        <w:t xml:space="preserve"> </w:t>
                      </w:r>
                      <w:r w:rsidR="00276361">
                        <w:t>(</w:t>
                      </w:r>
                      <w:r w:rsidR="00370A0B">
                        <w:t>9</w:t>
                      </w:r>
                      <w:r w:rsidR="0071249D">
                        <w:t xml:space="preserve"> </w:t>
                      </w:r>
                      <w:proofErr w:type="spellStart"/>
                      <w:r w:rsidR="0071249D">
                        <w:t>EbP</w:t>
                      </w:r>
                      <w:proofErr w:type="spellEnd"/>
                      <w:r w:rsidR="0071249D">
                        <w:t xml:space="preserve"> oder Azubis aus der Pflege und </w:t>
                      </w:r>
                      <w:r w:rsidR="005F6A18">
                        <w:t>9</w:t>
                      </w:r>
                      <w:r w:rsidR="00370A0B">
                        <w:t xml:space="preserve"> </w:t>
                      </w:r>
                      <w:r w:rsidR="0071249D">
                        <w:t>Studierende der Humanmedizin</w:t>
                      </w:r>
                      <w:r w:rsidR="00DC5FA2">
                        <w:t xml:space="preserve"> (PJ)</w:t>
                      </w:r>
                      <w:r w:rsidR="005F6A18">
                        <w:t>)</w:t>
                      </w:r>
                      <w:r w:rsidR="0071249D">
                        <w:t xml:space="preserve"> im Somm</w:t>
                      </w:r>
                      <w:r w:rsidR="00276361">
                        <w:t>ersemester</w:t>
                      </w:r>
                      <w:r w:rsidR="0071249D">
                        <w:t xml:space="preserve"> 2025</w:t>
                      </w:r>
                      <w:r w:rsidR="00276361">
                        <w:t xml:space="preserve"> mehrfach angeboten wird</w:t>
                      </w:r>
                      <w:r w:rsidR="00370A0B">
                        <w:t>. Der Mehrwert dieser</w:t>
                      </w:r>
                      <w:r w:rsidR="00684523">
                        <w:t xml:space="preserve"> Lehrveranstaltung liegt darin</w:t>
                      </w:r>
                      <w:r w:rsidR="00A0653B">
                        <w:t>, dass die Lernenden Wissen zur Wundeinschätzung, Wundversorgung und Wundauflagen</w:t>
                      </w:r>
                      <w:r w:rsidR="00684523">
                        <w:t xml:space="preserve"> generieren, </w:t>
                      </w:r>
                      <w:r w:rsidR="009E21E5">
                        <w:t xml:space="preserve">eigenständig </w:t>
                      </w:r>
                      <w:r w:rsidR="00684523">
                        <w:t>in der Beobachtung und Diagnostik</w:t>
                      </w:r>
                      <w:r w:rsidR="00A0653B">
                        <w:t xml:space="preserve"> sowie der inte</w:t>
                      </w:r>
                      <w:r w:rsidR="007B41D0">
                        <w:t>r</w:t>
                      </w:r>
                      <w:r w:rsidR="00A0653B">
                        <w:t xml:space="preserve">professionellen Kommunikation im Kontext der Wundversorgung </w:t>
                      </w:r>
                      <w:r w:rsidR="00684523">
                        <w:t>geschult werden und gemeinsam und interprofessionell Behandlungsstrategien entwickeln</w:t>
                      </w:r>
                      <w:r w:rsidR="00A0653B">
                        <w:t xml:space="preserve"> und auch praktisch umsetzen.</w:t>
                      </w:r>
                      <w:r w:rsidR="00370A0B">
                        <w:br/>
                      </w:r>
                      <w:r w:rsidR="00F2147C">
                        <w:t>Okt</w:t>
                      </w:r>
                      <w:r w:rsidR="007B41D0">
                        <w:t xml:space="preserve">. </w:t>
                      </w:r>
                      <w:r w:rsidR="00F2147C">
                        <w:t>24</w:t>
                      </w:r>
                      <w:r w:rsidR="005F6A18">
                        <w:t xml:space="preserve"> – Dez 24</w:t>
                      </w:r>
                      <w:r w:rsidR="00F2147C">
                        <w:t>: Erstellung der Lehrkonzeption</w:t>
                      </w:r>
                      <w:r w:rsidR="005F6A18">
                        <w:t xml:space="preserve"> + SP-Skripte</w:t>
                      </w:r>
                      <w:r w:rsidR="0071249D">
                        <w:br/>
                        <w:t>Jan</w:t>
                      </w:r>
                      <w:r w:rsidR="007B41D0">
                        <w:t>.</w:t>
                      </w:r>
                      <w:r w:rsidR="0071249D">
                        <w:t xml:space="preserve"> 25: Rekrutierung der SP</w:t>
                      </w:r>
                      <w:r w:rsidR="0071249D">
                        <w:br/>
                        <w:t>Feb</w:t>
                      </w:r>
                      <w:r w:rsidR="007B41D0">
                        <w:t>.</w:t>
                      </w:r>
                      <w:r w:rsidR="0071249D">
                        <w:t xml:space="preserve"> 25</w:t>
                      </w:r>
                      <w:r w:rsidR="00F2147C">
                        <w:t xml:space="preserve">: </w:t>
                      </w:r>
                      <w:r w:rsidR="0071249D">
                        <w:t>W</w:t>
                      </w:r>
                      <w:r w:rsidR="005F6A18">
                        <w:t xml:space="preserve">orkshop  Tutor*innen Schulung Wundversorgung </w:t>
                      </w:r>
                      <w:r w:rsidR="00DC5FA2">
                        <w:t>(zweitägig)</w:t>
                      </w:r>
                      <w:r w:rsidR="0071249D">
                        <w:br/>
                        <w:t xml:space="preserve">März 25: </w:t>
                      </w:r>
                      <w:r w:rsidR="00370A0B">
                        <w:t>Probetraining SP</w:t>
                      </w:r>
                      <w:r w:rsidR="00370A0B">
                        <w:br/>
                        <w:t>Apr.-Sept. 25: Durchführung der interprofessionellen Lehrveranstaltung</w:t>
                      </w:r>
                      <w:r w:rsidR="00007CF8">
                        <w:t xml:space="preserve"> und Evaluation</w:t>
                      </w:r>
                    </w:p>
                    <w:p w14:paraId="6256B6D1" w14:textId="77777777" w:rsidR="00F2147C" w:rsidRDefault="0071249D">
                      <w:pPr>
                        <w:spacing w:line="275" w:lineRule="auto"/>
                        <w:textDirection w:val="btLr"/>
                      </w:pPr>
                      <w:r>
                        <w:t xml:space="preserve"> </w:t>
                      </w:r>
                    </w:p>
                    <w:p w14:paraId="33B05AED" w14:textId="77777777" w:rsidR="00F2147C" w:rsidRDefault="00F2147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24AF4A" w14:textId="77777777" w:rsidR="008B6DC4" w:rsidRDefault="008B6DC4">
      <w:pPr>
        <w:spacing w:line="240" w:lineRule="auto"/>
        <w:rPr>
          <w:rFonts w:ascii="Arial" w:eastAsia="Arial" w:hAnsi="Arial" w:cs="Arial"/>
          <w:sz w:val="28"/>
          <w:szCs w:val="28"/>
        </w:rPr>
      </w:pPr>
    </w:p>
    <w:p w14:paraId="6665849E" w14:textId="77777777" w:rsidR="008B6DC4" w:rsidRDefault="008B6DC4">
      <w:pPr>
        <w:spacing w:line="240" w:lineRule="auto"/>
        <w:rPr>
          <w:rFonts w:ascii="Arial" w:eastAsia="Arial" w:hAnsi="Arial" w:cs="Arial"/>
          <w:sz w:val="28"/>
          <w:szCs w:val="28"/>
        </w:rPr>
      </w:pPr>
    </w:p>
    <w:p w14:paraId="5F9DA053" w14:textId="77777777" w:rsidR="008B6DC4" w:rsidRDefault="008B6DC4">
      <w:pPr>
        <w:spacing w:line="240" w:lineRule="auto"/>
        <w:rPr>
          <w:rFonts w:ascii="Arial" w:eastAsia="Arial" w:hAnsi="Arial" w:cs="Arial"/>
          <w:sz w:val="28"/>
          <w:szCs w:val="28"/>
        </w:rPr>
      </w:pPr>
    </w:p>
    <w:p w14:paraId="3D1C84D1" w14:textId="77777777" w:rsidR="008B6DC4" w:rsidRDefault="008B6DC4">
      <w:pPr>
        <w:spacing w:line="240" w:lineRule="auto"/>
        <w:rPr>
          <w:rFonts w:ascii="Arial" w:eastAsia="Arial" w:hAnsi="Arial" w:cs="Arial"/>
          <w:sz w:val="28"/>
          <w:szCs w:val="28"/>
        </w:rPr>
      </w:pPr>
    </w:p>
    <w:p w14:paraId="0A2018A6" w14:textId="77777777" w:rsidR="008B6DC4" w:rsidRDefault="008B6DC4">
      <w:pPr>
        <w:spacing w:line="240" w:lineRule="auto"/>
        <w:rPr>
          <w:rFonts w:ascii="Arial" w:eastAsia="Arial" w:hAnsi="Arial" w:cs="Arial"/>
          <w:sz w:val="28"/>
          <w:szCs w:val="28"/>
        </w:rPr>
      </w:pPr>
    </w:p>
    <w:p w14:paraId="0C5E602A" w14:textId="77777777" w:rsidR="008B6DC4" w:rsidRDefault="008B6DC4">
      <w:pPr>
        <w:spacing w:line="240" w:lineRule="auto"/>
        <w:rPr>
          <w:rFonts w:ascii="Arial" w:eastAsia="Arial" w:hAnsi="Arial" w:cs="Arial"/>
          <w:sz w:val="28"/>
          <w:szCs w:val="28"/>
        </w:rPr>
      </w:pPr>
    </w:p>
    <w:p w14:paraId="1B9BE627" w14:textId="77777777" w:rsidR="008B6DC4" w:rsidRDefault="008B6DC4">
      <w:pPr>
        <w:spacing w:line="240" w:lineRule="auto"/>
        <w:rPr>
          <w:rFonts w:ascii="Arial" w:eastAsia="Arial" w:hAnsi="Arial" w:cs="Arial"/>
          <w:sz w:val="28"/>
          <w:szCs w:val="28"/>
        </w:rPr>
      </w:pPr>
    </w:p>
    <w:p w14:paraId="46D9372A" w14:textId="77777777" w:rsidR="008B6DC4" w:rsidRDefault="008B6DC4">
      <w:pPr>
        <w:spacing w:line="240" w:lineRule="auto"/>
        <w:rPr>
          <w:rFonts w:ascii="Arial" w:eastAsia="Arial" w:hAnsi="Arial" w:cs="Arial"/>
          <w:sz w:val="28"/>
          <w:szCs w:val="28"/>
        </w:rPr>
      </w:pPr>
    </w:p>
    <w:p w14:paraId="16262DA9" w14:textId="77777777" w:rsidR="008B6DC4" w:rsidRDefault="008B6DC4">
      <w:pPr>
        <w:spacing w:line="240" w:lineRule="auto"/>
        <w:rPr>
          <w:rFonts w:ascii="Arial" w:eastAsia="Arial" w:hAnsi="Arial" w:cs="Arial"/>
          <w:sz w:val="28"/>
          <w:szCs w:val="28"/>
        </w:rPr>
      </w:pPr>
    </w:p>
    <w:p w14:paraId="51B27958" w14:textId="77777777" w:rsidR="008B6DC4" w:rsidRDefault="008B6DC4">
      <w:pPr>
        <w:spacing w:line="240" w:lineRule="auto"/>
        <w:rPr>
          <w:rFonts w:ascii="Arial" w:eastAsia="Arial" w:hAnsi="Arial" w:cs="Arial"/>
          <w:sz w:val="28"/>
          <w:szCs w:val="28"/>
        </w:rPr>
      </w:pPr>
    </w:p>
    <w:p w14:paraId="46E613B6" w14:textId="77777777" w:rsidR="008B6DC4" w:rsidRDefault="008B6DC4">
      <w:pPr>
        <w:spacing w:line="240" w:lineRule="auto"/>
        <w:rPr>
          <w:rFonts w:ascii="Arial" w:eastAsia="Arial" w:hAnsi="Arial" w:cs="Arial"/>
          <w:sz w:val="28"/>
          <w:szCs w:val="28"/>
        </w:rPr>
      </w:pPr>
    </w:p>
    <w:p w14:paraId="038F18CB" w14:textId="77777777" w:rsidR="008B6DC4" w:rsidRDefault="008B6DC4">
      <w:pPr>
        <w:spacing w:line="240" w:lineRule="auto"/>
      </w:pPr>
    </w:p>
    <w:p w14:paraId="23B6D7E6" w14:textId="77777777" w:rsidR="00370A0B" w:rsidRDefault="00370A0B">
      <w:pPr>
        <w:spacing w:line="240" w:lineRule="auto"/>
        <w:rPr>
          <w:rFonts w:ascii="Arial" w:eastAsia="Arial" w:hAnsi="Arial" w:cs="Arial"/>
          <w:sz w:val="28"/>
          <w:szCs w:val="28"/>
        </w:rPr>
      </w:pPr>
    </w:p>
    <w:p w14:paraId="38855637" w14:textId="77777777" w:rsidR="00370A0B" w:rsidRDefault="00370A0B">
      <w:pPr>
        <w:spacing w:line="240" w:lineRule="auto"/>
        <w:rPr>
          <w:rFonts w:ascii="Arial" w:eastAsia="Arial" w:hAnsi="Arial" w:cs="Arial"/>
          <w:sz w:val="28"/>
          <w:szCs w:val="28"/>
        </w:rPr>
      </w:pPr>
    </w:p>
    <w:p w14:paraId="6E4956A4" w14:textId="77777777" w:rsidR="008B6DC4" w:rsidRDefault="00BA1F3A">
      <w:pPr>
        <w:spacing w:line="240" w:lineRule="auto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EB16C8" wp14:editId="22D5C170">
                <wp:simplePos x="0" y="0"/>
                <wp:positionH relativeFrom="column">
                  <wp:posOffset>-1871</wp:posOffset>
                </wp:positionH>
                <wp:positionV relativeFrom="paragraph">
                  <wp:posOffset>2630462</wp:posOffset>
                </wp:positionV>
                <wp:extent cx="5776595" cy="1375719"/>
                <wp:effectExtent l="0" t="0" r="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6595" cy="13757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ECE4BB" w14:textId="77777777" w:rsidR="00BA1F3A" w:rsidRPr="00BA1F3A" w:rsidRDefault="00A33805" w:rsidP="00BA1F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A1F3A">
                              <w:rPr>
                                <w:sz w:val="18"/>
                                <w:szCs w:val="18"/>
                              </w:rPr>
                              <w:t>Literaturverzeichnis:</w:t>
                            </w:r>
                            <w:r w:rsidR="00BA1F3A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BA1F3A">
                              <w:rPr>
                                <w:sz w:val="18"/>
                                <w:szCs w:val="18"/>
                              </w:rPr>
                              <w:t>[1]</w:t>
                            </w:r>
                            <w:r w:rsidR="00605E9E" w:rsidRPr="00BA1F3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605E9E" w:rsidRPr="00BA1F3A">
                              <w:rPr>
                                <w:sz w:val="18"/>
                                <w:szCs w:val="18"/>
                              </w:rPr>
                              <w:t>Bergendahl</w:t>
                            </w:r>
                            <w:proofErr w:type="spellEnd"/>
                            <w:r w:rsidR="00605E9E" w:rsidRPr="00BA1F3A">
                              <w:rPr>
                                <w:sz w:val="18"/>
                                <w:szCs w:val="18"/>
                              </w:rPr>
                              <w:t xml:space="preserve"> L, Werner F, Schmidt A, </w:t>
                            </w:r>
                            <w:proofErr w:type="spellStart"/>
                            <w:r w:rsidR="00605E9E" w:rsidRPr="00BA1F3A">
                              <w:rPr>
                                <w:sz w:val="18"/>
                                <w:szCs w:val="18"/>
                              </w:rPr>
                              <w:t>Ronicke</w:t>
                            </w:r>
                            <w:proofErr w:type="spellEnd"/>
                            <w:r w:rsidR="00605E9E" w:rsidRPr="00BA1F3A">
                              <w:rPr>
                                <w:sz w:val="18"/>
                                <w:szCs w:val="18"/>
                              </w:rPr>
                              <w:t xml:space="preserve"> M, Renner R, Erfurt-Berge C. Entwicklung und Evaluation eines interprofessionellen Lehrkonzepts zum modernen Wundmanagement. J </w:t>
                            </w:r>
                            <w:proofErr w:type="spellStart"/>
                            <w:r w:rsidR="00605E9E" w:rsidRPr="00BA1F3A">
                              <w:rPr>
                                <w:sz w:val="18"/>
                                <w:szCs w:val="18"/>
                              </w:rPr>
                              <w:t>Dtsch</w:t>
                            </w:r>
                            <w:proofErr w:type="spellEnd"/>
                            <w:r w:rsidR="00605E9E" w:rsidRPr="00BA1F3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605E9E" w:rsidRPr="00BA1F3A">
                              <w:rPr>
                                <w:sz w:val="18"/>
                                <w:szCs w:val="18"/>
                              </w:rPr>
                              <w:t>Dermatol</w:t>
                            </w:r>
                            <w:proofErr w:type="spellEnd"/>
                            <w:r w:rsidR="00605E9E" w:rsidRPr="00BA1F3A">
                              <w:rPr>
                                <w:sz w:val="18"/>
                                <w:szCs w:val="18"/>
                              </w:rPr>
                              <w:t xml:space="preserve"> Ges. 2020 Sep;18(9):977-983. German. </w:t>
                            </w:r>
                            <w:proofErr w:type="spellStart"/>
                            <w:r w:rsidR="00605E9E" w:rsidRPr="00BA1F3A">
                              <w:rPr>
                                <w:sz w:val="18"/>
                                <w:szCs w:val="18"/>
                              </w:rPr>
                              <w:t>doi</w:t>
                            </w:r>
                            <w:proofErr w:type="spellEnd"/>
                            <w:r w:rsidR="00605E9E" w:rsidRPr="00BA1F3A">
                              <w:rPr>
                                <w:sz w:val="18"/>
                                <w:szCs w:val="18"/>
                              </w:rPr>
                              <w:t>: 10.1111/ddg.14230_g. PMID: 32985806.</w:t>
                            </w:r>
                            <w:r w:rsidR="00BA1F3A">
                              <w:rPr>
                                <w:sz w:val="18"/>
                                <w:szCs w:val="18"/>
                              </w:rPr>
                              <w:br/>
                              <w:t>[2] Hartmann (2021). Chronische Wunden: neue Statistik zeigt aktuelle Zahlen. PAUL HARTMANN AG. URL:</w:t>
                            </w:r>
                            <w:r w:rsidR="00BA1F3A" w:rsidRPr="00BA1F3A">
                              <w:t xml:space="preserve"> </w:t>
                            </w:r>
                            <w:hyperlink r:id="rId12" w:history="1">
                              <w:r w:rsidR="00BA1F3A" w:rsidRPr="00913EAC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https://www.hartmann.info/de-de/wissen/2/9/statistik-chronische-wunden</w:t>
                              </w:r>
                            </w:hyperlink>
                            <w:r w:rsidR="00BA1F3A">
                              <w:rPr>
                                <w:sz w:val="18"/>
                                <w:szCs w:val="18"/>
                              </w:rPr>
                              <w:t>, Abruf am 26.08.2024</w:t>
                            </w:r>
                            <w:r w:rsidR="00BA1F3A">
                              <w:rPr>
                                <w:sz w:val="18"/>
                                <w:szCs w:val="18"/>
                              </w:rPr>
                              <w:br/>
                              <w:t xml:space="preserve">[3] Bundesgesetzblatt Jahrgang 2018 . </w:t>
                            </w:r>
                            <w:r w:rsidR="00DB4AA9">
                              <w:rPr>
                                <w:sz w:val="18"/>
                                <w:szCs w:val="18"/>
                              </w:rPr>
                              <w:t xml:space="preserve">Ausbildungs- und Prüfungsverordnung für die Pflegeberufe. </w:t>
                            </w:r>
                            <w:r w:rsidR="00BA1F3A" w:rsidRPr="00BA1F3A">
                              <w:rPr>
                                <w:sz w:val="18"/>
                                <w:szCs w:val="18"/>
                              </w:rPr>
                              <w:t>Kompetenzen für die staatliche Prüfung nach § 9</w:t>
                            </w:r>
                            <w:r w:rsidR="00BA1F3A">
                              <w:rPr>
                                <w:sz w:val="18"/>
                                <w:szCs w:val="18"/>
                              </w:rPr>
                              <w:t>, Anlage 2</w:t>
                            </w:r>
                            <w:r w:rsidR="00DB4AA9">
                              <w:rPr>
                                <w:sz w:val="18"/>
                                <w:szCs w:val="18"/>
                              </w:rPr>
                              <w:t xml:space="preserve">, URL: </w:t>
                            </w:r>
                            <w:hyperlink r:id="rId13" w:history="1">
                              <w:r w:rsidR="00DB4AA9" w:rsidRPr="00913EAC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https://dejure.org/BGBl/2018/BGBl._I_S._1572</w:t>
                              </w:r>
                            </w:hyperlink>
                            <w:r w:rsidR="00DB4AA9">
                              <w:rPr>
                                <w:sz w:val="18"/>
                                <w:szCs w:val="18"/>
                              </w:rPr>
                              <w:t>, Abruf am 26.08.2024</w:t>
                            </w:r>
                          </w:p>
                          <w:p w14:paraId="020F8ADE" w14:textId="77777777" w:rsidR="00A33805" w:rsidRPr="00BA1F3A" w:rsidRDefault="00BA1F3A" w:rsidP="00BA1F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A1F3A">
                              <w:rPr>
                                <w:sz w:val="18"/>
                                <w:szCs w:val="18"/>
                              </w:rPr>
                              <w:t>zur Pflegefachfrau oder zum Pflegefachmann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hteck 1" o:spid="_x0000_s1034" style="position:absolute;margin-left:-.15pt;margin-top:207.1pt;width:454.85pt;height:10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" fillcolor="white [3201]" stroked="f" strokeweight="1pt">
                <v:textbox>
                  <w:txbxContent>
                    <w:p w:rsidR="00BA1F3A" w:rsidRPr="00BA1F3A" w:rsidRDefault="00A33805" w:rsidP="00BA1F3A">
                      <w:pPr>
                        <w:rPr>
                          <w:sz w:val="18"/>
                          <w:szCs w:val="18"/>
                        </w:rPr>
                      </w:pPr>
                      <w:r w:rsidRPr="00BA1F3A">
                        <w:rPr>
                          <w:sz w:val="18"/>
                          <w:szCs w:val="18"/>
                        </w:rPr>
                        <w:t>Literaturverzeichnis:</w:t>
                      </w:r>
                      <w:r w:rsidR="00BA1F3A">
                        <w:rPr>
                          <w:sz w:val="18"/>
                          <w:szCs w:val="18"/>
                        </w:rPr>
                        <w:br/>
                      </w:r>
                      <w:r w:rsidRPr="00BA1F3A">
                        <w:rPr>
                          <w:sz w:val="18"/>
                          <w:szCs w:val="18"/>
                        </w:rPr>
                        <w:t>[1]</w:t>
                      </w:r>
                      <w:r w:rsidR="00605E9E" w:rsidRPr="00BA1F3A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605E9E" w:rsidRPr="00BA1F3A">
                        <w:rPr>
                          <w:sz w:val="18"/>
                          <w:szCs w:val="18"/>
                        </w:rPr>
                        <w:t>Bergendahl</w:t>
                      </w:r>
                      <w:proofErr w:type="spellEnd"/>
                      <w:r w:rsidR="00605E9E" w:rsidRPr="00BA1F3A">
                        <w:rPr>
                          <w:sz w:val="18"/>
                          <w:szCs w:val="18"/>
                        </w:rPr>
                        <w:t xml:space="preserve"> L, Werner F, Schmidt A, </w:t>
                      </w:r>
                      <w:proofErr w:type="spellStart"/>
                      <w:r w:rsidR="00605E9E" w:rsidRPr="00BA1F3A">
                        <w:rPr>
                          <w:sz w:val="18"/>
                          <w:szCs w:val="18"/>
                        </w:rPr>
                        <w:t>Ronicke</w:t>
                      </w:r>
                      <w:proofErr w:type="spellEnd"/>
                      <w:r w:rsidR="00605E9E" w:rsidRPr="00BA1F3A">
                        <w:rPr>
                          <w:sz w:val="18"/>
                          <w:szCs w:val="18"/>
                        </w:rPr>
                        <w:t xml:space="preserve"> M, Renner R, Erfurt-Berge C. Entwicklung und Evaluation eines interprofessionellen Lehrkonzepts zum modernen Wundmanagement. J </w:t>
                      </w:r>
                      <w:proofErr w:type="spellStart"/>
                      <w:r w:rsidR="00605E9E" w:rsidRPr="00BA1F3A">
                        <w:rPr>
                          <w:sz w:val="18"/>
                          <w:szCs w:val="18"/>
                        </w:rPr>
                        <w:t>Dtsch</w:t>
                      </w:r>
                      <w:proofErr w:type="spellEnd"/>
                      <w:r w:rsidR="00605E9E" w:rsidRPr="00BA1F3A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605E9E" w:rsidRPr="00BA1F3A">
                        <w:rPr>
                          <w:sz w:val="18"/>
                          <w:szCs w:val="18"/>
                        </w:rPr>
                        <w:t>Dermatol</w:t>
                      </w:r>
                      <w:proofErr w:type="spellEnd"/>
                      <w:r w:rsidR="00605E9E" w:rsidRPr="00BA1F3A">
                        <w:rPr>
                          <w:sz w:val="18"/>
                          <w:szCs w:val="18"/>
                        </w:rPr>
                        <w:t xml:space="preserve"> Ges. 2020 Sep;18(9):977-983. German. </w:t>
                      </w:r>
                      <w:proofErr w:type="spellStart"/>
                      <w:r w:rsidR="00605E9E" w:rsidRPr="00BA1F3A">
                        <w:rPr>
                          <w:sz w:val="18"/>
                          <w:szCs w:val="18"/>
                        </w:rPr>
                        <w:t>doi</w:t>
                      </w:r>
                      <w:proofErr w:type="spellEnd"/>
                      <w:r w:rsidR="00605E9E" w:rsidRPr="00BA1F3A">
                        <w:rPr>
                          <w:sz w:val="18"/>
                          <w:szCs w:val="18"/>
                        </w:rPr>
                        <w:t>: 10.1111/ddg.14230_g. PMID: 32985806.</w:t>
                      </w:r>
                      <w:r w:rsidR="00BA1F3A">
                        <w:rPr>
                          <w:sz w:val="18"/>
                          <w:szCs w:val="18"/>
                        </w:rPr>
                        <w:br/>
                        <w:t>[2] Hartmann (2021). Chronische Wunden: neue Statistik zeigt aktuelle Zahlen. PAUL HARTMANN AG. URL:</w:t>
                      </w:r>
                      <w:r w:rsidR="00BA1F3A" w:rsidRPr="00BA1F3A">
                        <w:t xml:space="preserve"> </w:t>
                      </w:r>
                      <w:hyperlink r:id="rId14" w:history="1">
                        <w:r w:rsidR="00BA1F3A" w:rsidRPr="00913EAC">
                          <w:rPr>
                            <w:rStyle w:val="Hyperlink"/>
                            <w:sz w:val="18"/>
                            <w:szCs w:val="18"/>
                          </w:rPr>
                          <w:t>https://www.hartmann.info/de-de/wissen/2/9/statistik-chronische-wunden</w:t>
                        </w:r>
                      </w:hyperlink>
                      <w:r w:rsidR="00BA1F3A">
                        <w:rPr>
                          <w:sz w:val="18"/>
                          <w:szCs w:val="18"/>
                        </w:rPr>
                        <w:t>, Abruf am 26.08.2024</w:t>
                      </w:r>
                      <w:r w:rsidR="00BA1F3A">
                        <w:rPr>
                          <w:sz w:val="18"/>
                          <w:szCs w:val="18"/>
                        </w:rPr>
                        <w:br/>
                        <w:t xml:space="preserve">[3] Bundesgesetzblatt Jahrgang 2018 . </w:t>
                      </w:r>
                      <w:r w:rsidR="00DB4AA9">
                        <w:rPr>
                          <w:sz w:val="18"/>
                          <w:szCs w:val="18"/>
                        </w:rPr>
                        <w:t xml:space="preserve">Ausbildungs- und Prüfungsverordnung für die Pflegeberufe. </w:t>
                      </w:r>
                      <w:r w:rsidR="00BA1F3A" w:rsidRPr="00BA1F3A">
                        <w:rPr>
                          <w:sz w:val="18"/>
                          <w:szCs w:val="18"/>
                        </w:rPr>
                        <w:t>Kompetenzen für die staatliche Prüfung nach § 9</w:t>
                      </w:r>
                      <w:r w:rsidR="00BA1F3A">
                        <w:rPr>
                          <w:sz w:val="18"/>
                          <w:szCs w:val="18"/>
                        </w:rPr>
                        <w:t>, Anlage 2</w:t>
                      </w:r>
                      <w:r w:rsidR="00DB4AA9">
                        <w:rPr>
                          <w:sz w:val="18"/>
                          <w:szCs w:val="18"/>
                        </w:rPr>
                        <w:t xml:space="preserve">, URL: </w:t>
                      </w:r>
                      <w:hyperlink r:id="rId15" w:history="1">
                        <w:r w:rsidR="00DB4AA9" w:rsidRPr="00913EAC">
                          <w:rPr>
                            <w:rStyle w:val="Hyperlink"/>
                            <w:sz w:val="18"/>
                            <w:szCs w:val="18"/>
                          </w:rPr>
                          <w:t>https://dejure.org/BGBl/2018/BGBl._I_S._1572</w:t>
                        </w:r>
                      </w:hyperlink>
                      <w:r w:rsidR="00DB4AA9">
                        <w:rPr>
                          <w:sz w:val="18"/>
                          <w:szCs w:val="18"/>
                        </w:rPr>
                        <w:t>, Abruf am 26.08.2024</w:t>
                      </w:r>
                    </w:p>
                    <w:p w:rsidR="00A33805" w:rsidRPr="00BA1F3A" w:rsidRDefault="00BA1F3A" w:rsidP="00BA1F3A">
                      <w:pPr>
                        <w:rPr>
                          <w:sz w:val="18"/>
                          <w:szCs w:val="18"/>
                        </w:rPr>
                      </w:pPr>
                      <w:r w:rsidRPr="00BA1F3A">
                        <w:rPr>
                          <w:sz w:val="18"/>
                          <w:szCs w:val="18"/>
                        </w:rPr>
                        <w:t>zur Pflegefachfrau oder zum Pflegefachmann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7D6AA3CD" wp14:editId="7F1ADF90">
                <wp:simplePos x="0" y="0"/>
                <wp:positionH relativeFrom="column">
                  <wp:posOffset>-1871</wp:posOffset>
                </wp:positionH>
                <wp:positionV relativeFrom="paragraph">
                  <wp:posOffset>274440</wp:posOffset>
                </wp:positionV>
                <wp:extent cx="5777213" cy="2314833"/>
                <wp:effectExtent l="0" t="0" r="14605" b="2857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7213" cy="2314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422"/>
                              <w:gridCol w:w="4363"/>
                            </w:tblGrid>
                            <w:tr w:rsidR="00276361" w14:paraId="6CA1DE2B" w14:textId="77777777" w:rsidTr="00007CF8">
                              <w:tc>
                                <w:tcPr>
                                  <w:tcW w:w="4431" w:type="dxa"/>
                                </w:tcPr>
                                <w:p w14:paraId="586E0909" w14:textId="77777777" w:rsidR="00276361" w:rsidRDefault="00370A0B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t xml:space="preserve">Workshop für </w:t>
                                  </w:r>
                                  <w:r w:rsidR="005F6A18">
                                    <w:t>Tutor*innen Schulung zur Wundversorgung (</w:t>
                                  </w:r>
                                  <w:r w:rsidR="00DC5FA2">
                                    <w:t xml:space="preserve"> Dozent*in, Catering, Lehrmaterial)</w:t>
                                  </w:r>
                                </w:p>
                              </w:tc>
                              <w:tc>
                                <w:tcPr>
                                  <w:tcW w:w="4428" w:type="dxa"/>
                                </w:tcPr>
                                <w:p w14:paraId="105D76C3" w14:textId="77777777" w:rsidR="00276361" w:rsidRDefault="00DC5FA2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t>2500,00 Euro</w:t>
                                  </w:r>
                                </w:p>
                              </w:tc>
                            </w:tr>
                            <w:tr w:rsidR="00276361" w14:paraId="522A5CC9" w14:textId="77777777" w:rsidTr="00007CF8">
                              <w:tc>
                                <w:tcPr>
                                  <w:tcW w:w="4431" w:type="dxa"/>
                                </w:tcPr>
                                <w:p w14:paraId="18D514D4" w14:textId="0F2C0BB9" w:rsidR="00276361" w:rsidRDefault="00DC5FA2" w:rsidP="00027C70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t xml:space="preserve">Für die Simulationen </w:t>
                                  </w:r>
                                  <w:proofErr w:type="spellStart"/>
                                  <w:r w:rsidR="005F6A18">
                                    <w:t>wiederverwendbare</w:t>
                                  </w:r>
                                  <w:r w:rsidR="007B41D0">
                                    <w:t>r</w:t>
                                  </w:r>
                                  <w:r w:rsidR="00027C70">
                                    <w:t>Wundensimulations</w:t>
                                  </w:r>
                                  <w:proofErr w:type="spellEnd"/>
                                  <w:r w:rsidR="00027C70">
                                    <w:t xml:space="preserve">-Set, Sockelfuß für diabetische Wunden, Wundmoulage Verbrennung II Grades, Pocket OP-Wunde entzündet, </w:t>
                                  </w:r>
                                  <w:proofErr w:type="spellStart"/>
                                  <w:r w:rsidR="00027C70">
                                    <w:t>Ulcerwunde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28" w:type="dxa"/>
                                </w:tcPr>
                                <w:p w14:paraId="418CD093" w14:textId="77777777" w:rsidR="00276361" w:rsidRDefault="00027C70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t>4795</w:t>
                                  </w:r>
                                  <w:r w:rsidR="00DC5FA2">
                                    <w:t>,00 Euro</w:t>
                                  </w:r>
                                </w:p>
                              </w:tc>
                            </w:tr>
                            <w:tr w:rsidR="00276361" w14:paraId="53325A74" w14:textId="77777777" w:rsidTr="00007CF8">
                              <w:tc>
                                <w:tcPr>
                                  <w:tcW w:w="4431" w:type="dxa"/>
                                </w:tcPr>
                                <w:p w14:paraId="3E366C80" w14:textId="77777777" w:rsidR="00276361" w:rsidRDefault="009E21E5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t xml:space="preserve">Verpflegung während der </w:t>
                                  </w:r>
                                  <w:r w:rsidR="00DC5FA2">
                                    <w:t xml:space="preserve"> Lehrveranstaltung</w:t>
                                  </w:r>
                                  <w:r>
                                    <w:t xml:space="preserve"> (en)</w:t>
                                  </w:r>
                                </w:p>
                              </w:tc>
                              <w:tc>
                                <w:tcPr>
                                  <w:tcW w:w="4428" w:type="dxa"/>
                                </w:tcPr>
                                <w:p w14:paraId="48ED5067" w14:textId="77777777" w:rsidR="00276361" w:rsidRDefault="009E21E5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t xml:space="preserve">    80,00 Euro</w:t>
                                  </w:r>
                                </w:p>
                              </w:tc>
                            </w:tr>
                            <w:tr w:rsidR="00276361" w14:paraId="2A0F8D23" w14:textId="77777777" w:rsidTr="00007CF8">
                              <w:tc>
                                <w:tcPr>
                                  <w:tcW w:w="4431" w:type="dxa"/>
                                </w:tcPr>
                                <w:p w14:paraId="4DC50894" w14:textId="77777777" w:rsidR="00276361" w:rsidRDefault="009E21E5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t>Gesamtsumme</w:t>
                                  </w:r>
                                </w:p>
                              </w:tc>
                              <w:tc>
                                <w:tcPr>
                                  <w:tcW w:w="4428" w:type="dxa"/>
                                </w:tcPr>
                                <w:p w14:paraId="1AE6F9F3" w14:textId="77777777" w:rsidR="00276361" w:rsidRDefault="00A33805">
                                  <w:pPr>
                                    <w:spacing w:line="275" w:lineRule="auto"/>
                                    <w:textDirection w:val="btLr"/>
                                  </w:pPr>
                                  <w:r w:rsidRPr="00A33805">
                                    <w:t>7.375,00 Euro</w:t>
                                  </w:r>
                                </w:p>
                              </w:tc>
                            </w:tr>
                          </w:tbl>
                          <w:p w14:paraId="31A6317C" w14:textId="77777777" w:rsidR="008B6DC4" w:rsidRDefault="008B6DC4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4FC53D9C" w14:textId="77777777" w:rsidR="00A33805" w:rsidRDefault="00A33805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5CD96229" w14:textId="77777777" w:rsidR="00A33805" w:rsidRDefault="00A33805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AA3CD" id="Rechteck 12" o:spid="_x0000_s1035" style="position:absolute;margin-left:-.15pt;margin-top:21.6pt;width:454.9pt;height:18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422"/>
                        <w:gridCol w:w="4363"/>
                      </w:tblGrid>
                      <w:tr w:rsidR="00276361" w14:paraId="6CA1DE2B" w14:textId="77777777" w:rsidTr="00007CF8">
                        <w:tc>
                          <w:tcPr>
                            <w:tcW w:w="4431" w:type="dxa"/>
                          </w:tcPr>
                          <w:p w14:paraId="586E0909" w14:textId="77777777" w:rsidR="00276361" w:rsidRDefault="00370A0B">
                            <w:pPr>
                              <w:spacing w:line="275" w:lineRule="auto"/>
                              <w:textDirection w:val="btLr"/>
                            </w:pPr>
                            <w:r>
                              <w:t xml:space="preserve">Workshop für </w:t>
                            </w:r>
                            <w:r w:rsidR="005F6A18">
                              <w:t>Tutor*innen Schulung zur Wundversorgung (</w:t>
                            </w:r>
                            <w:r w:rsidR="00DC5FA2">
                              <w:t xml:space="preserve"> Dozent*in, Catering, Lehrmaterial)</w:t>
                            </w:r>
                          </w:p>
                        </w:tc>
                        <w:tc>
                          <w:tcPr>
                            <w:tcW w:w="4428" w:type="dxa"/>
                          </w:tcPr>
                          <w:p w14:paraId="105D76C3" w14:textId="77777777" w:rsidR="00276361" w:rsidRDefault="00DC5FA2">
                            <w:pPr>
                              <w:spacing w:line="275" w:lineRule="auto"/>
                              <w:textDirection w:val="btLr"/>
                            </w:pPr>
                            <w:r>
                              <w:t>2500,00 Euro</w:t>
                            </w:r>
                          </w:p>
                        </w:tc>
                      </w:tr>
                      <w:tr w:rsidR="00276361" w14:paraId="522A5CC9" w14:textId="77777777" w:rsidTr="00007CF8">
                        <w:tc>
                          <w:tcPr>
                            <w:tcW w:w="4431" w:type="dxa"/>
                          </w:tcPr>
                          <w:p w14:paraId="18D514D4" w14:textId="0F2C0BB9" w:rsidR="00276361" w:rsidRDefault="00DC5FA2" w:rsidP="00027C7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t xml:space="preserve">Für die Simulationen </w:t>
                            </w:r>
                            <w:proofErr w:type="spellStart"/>
                            <w:r w:rsidR="005F6A18">
                              <w:t>wiederverwendbare</w:t>
                            </w:r>
                            <w:r w:rsidR="007B41D0">
                              <w:t>r</w:t>
                            </w:r>
                            <w:r w:rsidR="00027C70">
                              <w:t>Wundensimulations</w:t>
                            </w:r>
                            <w:proofErr w:type="spellEnd"/>
                            <w:r w:rsidR="00027C70">
                              <w:t xml:space="preserve">-Set, Sockelfuß für diabetische Wunden, Wundmoulage Verbrennung II Grades, Pocket OP-Wunde entzündet, </w:t>
                            </w:r>
                            <w:proofErr w:type="spellStart"/>
                            <w:r w:rsidR="00027C70">
                              <w:t>Ulcerwunde</w:t>
                            </w:r>
                            <w:proofErr w:type="spellEnd"/>
                          </w:p>
                        </w:tc>
                        <w:tc>
                          <w:tcPr>
                            <w:tcW w:w="4428" w:type="dxa"/>
                          </w:tcPr>
                          <w:p w14:paraId="418CD093" w14:textId="77777777" w:rsidR="00276361" w:rsidRDefault="00027C7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t>4795</w:t>
                            </w:r>
                            <w:r w:rsidR="00DC5FA2">
                              <w:t>,00 Euro</w:t>
                            </w:r>
                          </w:p>
                        </w:tc>
                      </w:tr>
                      <w:tr w:rsidR="00276361" w14:paraId="53325A74" w14:textId="77777777" w:rsidTr="00007CF8">
                        <w:tc>
                          <w:tcPr>
                            <w:tcW w:w="4431" w:type="dxa"/>
                          </w:tcPr>
                          <w:p w14:paraId="3E366C80" w14:textId="77777777" w:rsidR="00276361" w:rsidRDefault="009E21E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t xml:space="preserve">Verpflegung während der </w:t>
                            </w:r>
                            <w:r w:rsidR="00DC5FA2">
                              <w:t xml:space="preserve"> Lehrveranstaltung</w:t>
                            </w:r>
                            <w:r>
                              <w:t xml:space="preserve"> (en)</w:t>
                            </w:r>
                          </w:p>
                        </w:tc>
                        <w:tc>
                          <w:tcPr>
                            <w:tcW w:w="4428" w:type="dxa"/>
                          </w:tcPr>
                          <w:p w14:paraId="48ED5067" w14:textId="77777777" w:rsidR="00276361" w:rsidRDefault="009E21E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t xml:space="preserve">    80,00 Euro</w:t>
                            </w:r>
                          </w:p>
                        </w:tc>
                      </w:tr>
                      <w:tr w:rsidR="00276361" w14:paraId="2A0F8D23" w14:textId="77777777" w:rsidTr="00007CF8">
                        <w:tc>
                          <w:tcPr>
                            <w:tcW w:w="4431" w:type="dxa"/>
                          </w:tcPr>
                          <w:p w14:paraId="4DC50894" w14:textId="77777777" w:rsidR="00276361" w:rsidRDefault="009E21E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t>Gesamtsumme</w:t>
                            </w:r>
                          </w:p>
                        </w:tc>
                        <w:tc>
                          <w:tcPr>
                            <w:tcW w:w="4428" w:type="dxa"/>
                          </w:tcPr>
                          <w:p w14:paraId="1AE6F9F3" w14:textId="77777777" w:rsidR="00276361" w:rsidRDefault="00A33805">
                            <w:pPr>
                              <w:spacing w:line="275" w:lineRule="auto"/>
                              <w:textDirection w:val="btLr"/>
                            </w:pPr>
                            <w:r w:rsidRPr="00A33805">
                              <w:t>7.375,00 Euro</w:t>
                            </w:r>
                          </w:p>
                        </w:tc>
                      </w:tr>
                    </w:tbl>
                    <w:p w14:paraId="31A6317C" w14:textId="77777777" w:rsidR="008B6DC4" w:rsidRDefault="008B6DC4">
                      <w:pPr>
                        <w:spacing w:line="275" w:lineRule="auto"/>
                        <w:textDirection w:val="btLr"/>
                      </w:pPr>
                    </w:p>
                    <w:p w14:paraId="4FC53D9C" w14:textId="77777777" w:rsidR="00A33805" w:rsidRDefault="00A33805">
                      <w:pPr>
                        <w:spacing w:line="275" w:lineRule="auto"/>
                        <w:textDirection w:val="btLr"/>
                      </w:pPr>
                    </w:p>
                    <w:p w14:paraId="5CD96229" w14:textId="77777777" w:rsidR="00A33805" w:rsidRDefault="00A33805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0199A">
        <w:rPr>
          <w:rFonts w:ascii="Arial" w:eastAsia="Arial" w:hAnsi="Arial" w:cs="Arial"/>
          <w:sz w:val="28"/>
          <w:szCs w:val="28"/>
        </w:rPr>
        <w:t>Abzuschätzende Kostenkalkulation:</w:t>
      </w:r>
    </w:p>
    <w:sectPr w:rsidR="008B6DC4">
      <w:headerReference w:type="default" r:id="rId16"/>
      <w:pgSz w:w="11906" w:h="16838"/>
      <w:pgMar w:top="1417" w:right="1417" w:bottom="1134" w:left="1417" w:header="70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E7C7F" w14:textId="77777777" w:rsidR="00B45FA7" w:rsidRDefault="00B45FA7">
      <w:pPr>
        <w:spacing w:after="0" w:line="240" w:lineRule="auto"/>
      </w:pPr>
      <w:r>
        <w:separator/>
      </w:r>
    </w:p>
  </w:endnote>
  <w:endnote w:type="continuationSeparator" w:id="0">
    <w:p w14:paraId="7E6DC1B5" w14:textId="77777777" w:rsidR="00B45FA7" w:rsidRDefault="00B45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8AF3E" w14:textId="77777777" w:rsidR="00B45FA7" w:rsidRDefault="00B45FA7">
      <w:pPr>
        <w:spacing w:after="0" w:line="240" w:lineRule="auto"/>
      </w:pPr>
      <w:r>
        <w:separator/>
      </w:r>
    </w:p>
  </w:footnote>
  <w:footnote w:type="continuationSeparator" w:id="0">
    <w:p w14:paraId="3DAECFA7" w14:textId="77777777" w:rsidR="00B45FA7" w:rsidRDefault="00B45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C17C" w14:textId="77777777" w:rsidR="008B6DC4" w:rsidRDefault="0050199A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48"/>
        <w:szCs w:val="48"/>
        <w:u w:val="single"/>
      </w:rPr>
    </w:pPr>
    <w:r>
      <w:rPr>
        <w:rFonts w:ascii="Arial" w:eastAsia="Arial" w:hAnsi="Arial" w:cs="Arial"/>
        <w:color w:val="000000"/>
        <w:sz w:val="48"/>
        <w:szCs w:val="48"/>
        <w:u w:val="single"/>
      </w:rPr>
      <w:t>Projektpreisantrag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C4"/>
    <w:rsid w:val="00007CF8"/>
    <w:rsid w:val="00027C70"/>
    <w:rsid w:val="000B4A57"/>
    <w:rsid w:val="000D236E"/>
    <w:rsid w:val="001E3C98"/>
    <w:rsid w:val="00276361"/>
    <w:rsid w:val="00300FCC"/>
    <w:rsid w:val="00370A0B"/>
    <w:rsid w:val="003C79D1"/>
    <w:rsid w:val="00464529"/>
    <w:rsid w:val="004943A0"/>
    <w:rsid w:val="004A709F"/>
    <w:rsid w:val="0050199A"/>
    <w:rsid w:val="005F6A18"/>
    <w:rsid w:val="00605E9E"/>
    <w:rsid w:val="00677883"/>
    <w:rsid w:val="00684523"/>
    <w:rsid w:val="0071249D"/>
    <w:rsid w:val="007B41D0"/>
    <w:rsid w:val="008B6DC4"/>
    <w:rsid w:val="009E21E5"/>
    <w:rsid w:val="00A0653B"/>
    <w:rsid w:val="00A33805"/>
    <w:rsid w:val="00B45FA7"/>
    <w:rsid w:val="00BA1F3A"/>
    <w:rsid w:val="00C2734A"/>
    <w:rsid w:val="00D40019"/>
    <w:rsid w:val="00DB4AA9"/>
    <w:rsid w:val="00DC5FA2"/>
    <w:rsid w:val="00DC7BBC"/>
    <w:rsid w:val="00E916F9"/>
    <w:rsid w:val="00F2147C"/>
    <w:rsid w:val="00F47A70"/>
    <w:rsid w:val="00F9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1D01"/>
  <w15:docId w15:val="{F8DBB591-EB51-46CD-B2D8-783ED65E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einLeerraum">
    <w:name w:val="No Spacing"/>
    <w:pPr>
      <w:spacing w:after="0" w:line="240" w:lineRule="auto"/>
    </w:p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Internetlink">
    <w:name w:val="Internet link"/>
    <w:basedOn w:val="Absatz-Standardschriftart"/>
    <w:rPr>
      <w:color w:val="0000FF"/>
      <w:u w:val="single"/>
    </w:rPr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27B0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E506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E5068"/>
    <w:rPr>
      <w:color w:val="605E5C"/>
      <w:shd w:val="clear" w:color="auto" w:fill="E1DFDD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lenraster">
    <w:name w:val="Table Grid"/>
    <w:basedOn w:val="NormaleTabelle"/>
    <w:uiPriority w:val="39"/>
    <w:rsid w:val="00276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7B41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ejure.org/BGBl/2018/BGBl._I_S._157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orsitz@fachschaftmedizinhalle.de" TargetMode="External"/><Relationship Id="rId12" Type="http://schemas.openxmlformats.org/officeDocument/2006/relationships/hyperlink" Target="https://www.hartmann.info/de-de/wissen/2/9/statistik-chronische-wund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dejure.org/BGBl/2018/BGBl._I_S._1572" TargetMode="Externa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14" Type="http://schemas.openxmlformats.org/officeDocument/2006/relationships/hyperlink" Target="https://www.hartmann.info/de-de/wissen/2/9/statistik-chronische-wunde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ht4xlztRHhJWW/B8juQDt+y2TQ==">CgMxLjA4AHIhMTNPN0RYNlVNQmNNa3RzNnU2MFZfR0ZwZjQtV2ZJaTZC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Halle (Saale)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Jaekel</dc:creator>
  <cp:lastModifiedBy>Schmiljun, Laura Alexandra</cp:lastModifiedBy>
  <cp:revision>2</cp:revision>
  <dcterms:created xsi:type="dcterms:W3CDTF">2024-08-30T18:44:00Z</dcterms:created>
  <dcterms:modified xsi:type="dcterms:W3CDTF">2024-08-30T18:44:00Z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